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clear" w:pos="4536"/>
        </w:tabs>
        <w:rPr>
          <w:rFonts w:eastAsia="宋体" w:cs="Arial"/>
          <w:sz w:val="22"/>
          <w:szCs w:val="22"/>
          <w:lang w:eastAsia="zh-CN"/>
        </w:rPr>
      </w:pPr>
      <w:r>
        <w:rPr>
          <w:rFonts w:cs="Arial"/>
          <w:sz w:val="22"/>
          <w:szCs w:val="22"/>
        </w:rPr>
        <w:t>3GPP TSG RAN WG1</w:t>
      </w:r>
      <w:r>
        <w:rPr>
          <w:rFonts w:eastAsia="宋体" w:cs="Arial"/>
          <w:sz w:val="22"/>
          <w:szCs w:val="22"/>
          <w:lang w:eastAsia="zh-CN"/>
        </w:rPr>
        <w:t xml:space="preserve"> Meeting NR#3</w:t>
      </w:r>
      <w:r>
        <w:rPr>
          <w:rFonts w:cs="Arial"/>
          <w:sz w:val="22"/>
          <w:szCs w:val="22"/>
        </w:rPr>
        <w:tab/>
      </w:r>
      <w:r>
        <w:rPr>
          <w:rFonts w:cs="Arial"/>
          <w:sz w:val="22"/>
          <w:szCs w:val="22"/>
        </w:rPr>
        <w:t>R1-1</w:t>
      </w:r>
      <w:r>
        <w:rPr>
          <w:rFonts w:eastAsia="宋体" w:cs="Arial"/>
          <w:sz w:val="22"/>
          <w:szCs w:val="22"/>
          <w:lang w:eastAsia="zh-CN"/>
        </w:rPr>
        <w:t>715454</w:t>
      </w:r>
    </w:p>
    <w:p>
      <w:pPr>
        <w:pStyle w:val="23"/>
        <w:tabs>
          <w:tab w:val="clear" w:pos="4536"/>
        </w:tabs>
        <w:spacing w:after="240"/>
        <w:rPr>
          <w:lang w:val="en-GB"/>
        </w:rPr>
      </w:pPr>
      <w:r>
        <w:rPr>
          <w:rFonts w:hint="default" w:eastAsia="宋体" w:cs="Arial"/>
          <w:sz w:val="22"/>
          <w:szCs w:val="22"/>
          <w:lang w:eastAsia="zh-CN"/>
        </w:rPr>
        <w:t>Nagoya, Japan, 18</w:t>
      </w:r>
      <w:r>
        <w:rPr>
          <w:rFonts w:hint="default" w:eastAsia="宋体" w:cs="Arial"/>
          <w:sz w:val="22"/>
          <w:szCs w:val="22"/>
          <w:vertAlign w:val="superscript"/>
          <w:lang w:eastAsia="zh-CN"/>
        </w:rPr>
        <w:t>th</w:t>
      </w:r>
      <w:r>
        <w:rPr>
          <w:rFonts w:hint="default" w:eastAsia="宋体" w:cs="Arial"/>
          <w:sz w:val="22"/>
          <w:szCs w:val="22"/>
          <w:lang w:eastAsia="zh-CN"/>
        </w:rPr>
        <w:t xml:space="preserve"> </w:t>
      </w:r>
      <w:r>
        <w:rPr>
          <w:rFonts w:hint="eastAsia" w:eastAsia="宋体" w:cs="Arial"/>
          <w:sz w:val="22"/>
          <w:szCs w:val="22"/>
          <w:lang w:eastAsia="zh-CN"/>
        </w:rPr>
        <w:t>-</w:t>
      </w:r>
      <w:r>
        <w:rPr>
          <w:rFonts w:hint="eastAsia" w:eastAsia="宋体" w:cs="Arial"/>
          <w:sz w:val="22"/>
          <w:szCs w:val="22"/>
          <w:lang w:val="en-US" w:eastAsia="zh-CN"/>
        </w:rPr>
        <w:t xml:space="preserve"> 21</w:t>
      </w:r>
      <w:r>
        <w:rPr>
          <w:rFonts w:hint="default" w:eastAsia="宋体" w:cs="Arial"/>
          <w:sz w:val="22"/>
          <w:szCs w:val="22"/>
          <w:vertAlign w:val="superscript"/>
          <w:lang w:eastAsia="zh-CN"/>
        </w:rPr>
        <w:t>st</w:t>
      </w:r>
      <w:r>
        <w:rPr>
          <w:rFonts w:hint="default" w:eastAsia="宋体" w:cs="Arial"/>
          <w:sz w:val="22"/>
          <w:szCs w:val="22"/>
          <w:lang w:eastAsia="zh-CN"/>
        </w:rPr>
        <w:t>, September 2017</w:t>
      </w:r>
      <w:bookmarkStart w:id="5" w:name="_GoBack"/>
      <w:bookmarkEnd w:id="5"/>
    </w:p>
    <w:p>
      <w:pPr>
        <w:widowControl w:val="0"/>
        <w:snapToGrid w:val="0"/>
        <w:spacing w:before="72" w:beforeLines="20"/>
        <w:rPr>
          <w:rFonts w:ascii="Arial" w:hAnsi="Arial" w:eastAsia="宋体"/>
          <w:b/>
          <w:sz w:val="22"/>
        </w:rPr>
      </w:pPr>
      <w:r>
        <w:rPr>
          <w:rFonts w:ascii="Arial" w:hAnsi="Arial" w:eastAsia="Times New Roman"/>
          <w:b/>
          <w:sz w:val="22"/>
          <w:lang w:eastAsia="en-US"/>
        </w:rPr>
        <w:t xml:space="preserve">Source: </w:t>
      </w:r>
      <w:r>
        <w:rPr>
          <w:rFonts w:hint="eastAsia" w:ascii="Arial" w:hAnsi="Arial" w:eastAsia="宋体"/>
          <w:b/>
          <w:sz w:val="22"/>
        </w:rPr>
        <w:t xml:space="preserve">             </w:t>
      </w:r>
      <w:r>
        <w:rPr>
          <w:rFonts w:ascii="Arial" w:hAnsi="Arial" w:eastAsia="Times New Roman"/>
          <w:b/>
          <w:sz w:val="22"/>
          <w:lang w:eastAsia="en-US"/>
        </w:rPr>
        <w:t>ZTE</w:t>
      </w:r>
      <w:r>
        <w:rPr>
          <w:rFonts w:hint="eastAsia" w:ascii="Arial" w:hAnsi="Arial" w:eastAsia="宋体"/>
          <w:b/>
          <w:sz w:val="22"/>
        </w:rPr>
        <w:t>, Sanechips</w:t>
      </w:r>
    </w:p>
    <w:p>
      <w:pPr>
        <w:widowControl w:val="0"/>
        <w:snapToGrid w:val="0"/>
        <w:spacing w:before="72" w:beforeLines="20"/>
        <w:rPr>
          <w:rFonts w:ascii="Arial" w:hAnsi="Arial" w:eastAsia="宋体"/>
          <w:b/>
          <w:sz w:val="22"/>
        </w:rPr>
      </w:pPr>
      <w:r>
        <w:rPr>
          <w:rFonts w:ascii="Arial" w:hAnsi="Arial" w:eastAsia="Times New Roman"/>
          <w:b/>
          <w:sz w:val="22"/>
          <w:lang w:eastAsia="en-US"/>
        </w:rPr>
        <w:t>Title:</w:t>
      </w:r>
      <w:r>
        <w:rPr>
          <w:rFonts w:hint="eastAsia" w:ascii="Arial" w:hAnsi="Arial" w:eastAsia="宋体"/>
          <w:b/>
          <w:sz w:val="22"/>
        </w:rPr>
        <w:t xml:space="preserve">                   On NR P</w:t>
      </w:r>
      <w:r>
        <w:rPr>
          <w:rFonts w:ascii="Arial" w:hAnsi="Arial" w:eastAsia="宋体"/>
          <w:b/>
          <w:sz w:val="22"/>
        </w:rPr>
        <w:t xml:space="preserve">ower </w:t>
      </w:r>
      <w:r>
        <w:rPr>
          <w:rFonts w:hint="eastAsia" w:ascii="Arial" w:hAnsi="Arial" w:eastAsia="宋体"/>
          <w:b/>
          <w:sz w:val="22"/>
        </w:rPr>
        <w:t>C</w:t>
      </w:r>
      <w:r>
        <w:rPr>
          <w:rFonts w:ascii="Arial" w:hAnsi="Arial" w:eastAsia="宋体"/>
          <w:b/>
          <w:sz w:val="22"/>
        </w:rPr>
        <w:t>ontrol</w:t>
      </w:r>
    </w:p>
    <w:p>
      <w:pPr>
        <w:widowControl w:val="0"/>
        <w:snapToGrid w:val="0"/>
        <w:spacing w:before="72" w:beforeLines="20"/>
        <w:rPr>
          <w:rFonts w:ascii="Arial" w:hAnsi="Arial" w:eastAsia="宋体"/>
          <w:b/>
          <w:sz w:val="22"/>
        </w:rPr>
      </w:pPr>
      <w:r>
        <w:rPr>
          <w:rFonts w:ascii="Arial" w:hAnsi="Arial" w:eastAsia="Times New Roman"/>
          <w:b/>
          <w:sz w:val="22"/>
          <w:lang w:eastAsia="en-US"/>
        </w:rPr>
        <w:t>Agenda Item:</w:t>
      </w:r>
      <w:bookmarkStart w:id="0" w:name="Source"/>
      <w:bookmarkEnd w:id="0"/>
      <w:r>
        <w:rPr>
          <w:rFonts w:hint="eastAsia" w:ascii="Arial" w:hAnsi="Arial" w:eastAsia="宋体"/>
          <w:b/>
          <w:sz w:val="22"/>
        </w:rPr>
        <w:t xml:space="preserve">     6.7.1</w:t>
      </w:r>
    </w:p>
    <w:p>
      <w:pPr>
        <w:widowControl w:val="0"/>
        <w:snapToGrid w:val="0"/>
        <w:spacing w:before="72" w:beforeLines="20"/>
        <w:rPr>
          <w:rFonts w:ascii="Arial" w:hAnsi="Arial" w:eastAsia="Times New Roman"/>
          <w:b/>
          <w:sz w:val="22"/>
          <w:lang w:eastAsia="en-US"/>
        </w:rPr>
      </w:pPr>
      <w:r>
        <w:rPr>
          <w:rFonts w:ascii="Arial" w:hAnsi="Arial" w:eastAsia="Times New Roman"/>
          <w:b/>
          <w:sz w:val="22"/>
          <w:lang w:eastAsia="en-US"/>
        </w:rPr>
        <w:t>Document for:</w:t>
      </w:r>
      <w:bookmarkStart w:id="1" w:name="DocumentFor"/>
      <w:bookmarkEnd w:id="1"/>
      <w:r>
        <w:rPr>
          <w:rFonts w:hint="eastAsia" w:ascii="Arial" w:hAnsi="Arial" w:eastAsia="宋体"/>
          <w:b/>
          <w:sz w:val="22"/>
        </w:rPr>
        <w:t xml:space="preserve">   </w:t>
      </w:r>
      <w:r>
        <w:rPr>
          <w:rFonts w:ascii="Arial" w:hAnsi="Arial" w:eastAsia="Times New Roman"/>
          <w:b/>
          <w:sz w:val="22"/>
          <w:lang w:eastAsia="en-US"/>
        </w:rPr>
        <w:t>Discussion and Decision</w:t>
      </w:r>
    </w:p>
    <w:p>
      <w:pPr>
        <w:pBdr>
          <w:bottom w:val="single" w:color="auto" w:sz="4" w:space="1"/>
        </w:pBdr>
        <w:tabs>
          <w:tab w:val="left" w:pos="2552"/>
        </w:tabs>
        <w:rPr>
          <w:rFonts w:eastAsia="Times New Roman"/>
          <w:sz w:val="4"/>
          <w:szCs w:val="4"/>
          <w:lang w:eastAsia="en-US"/>
        </w:rPr>
      </w:pPr>
    </w:p>
    <w:p>
      <w:pPr>
        <w:pStyle w:val="2"/>
        <w:keepNext/>
        <w:tabs>
          <w:tab w:val="left" w:pos="3686"/>
          <w:tab w:val="left" w:pos="4536"/>
        </w:tabs>
        <w:autoSpaceDE/>
        <w:autoSpaceDN/>
        <w:snapToGrid w:val="0"/>
        <w:spacing w:before="180" w:beforeLines="50" w:beforeAutospacing="0" w:after="0" w:afterAutospacing="0" w:line="240" w:lineRule="auto"/>
        <w:textAlignment w:val="baseline"/>
        <w:rPr>
          <w:rFonts w:ascii="Arial Unicode MS" w:hAnsi="Arial Unicode MS" w:eastAsia="Arial Unicode MS" w:cs="Arial Unicode MS"/>
          <w:sz w:val="28"/>
          <w:szCs w:val="28"/>
        </w:rPr>
      </w:pPr>
      <w:r>
        <w:rPr>
          <w:rFonts w:ascii="Arial Unicode MS" w:hAnsi="Arial Unicode MS" w:eastAsia="Arial Unicode MS" w:cs="Arial Unicode MS"/>
          <w:sz w:val="28"/>
          <w:szCs w:val="28"/>
        </w:rPr>
        <w:t>I</w:t>
      </w:r>
      <w:r>
        <w:rPr>
          <w:rFonts w:hint="eastAsia" w:ascii="Arial Unicode MS" w:hAnsi="Arial Unicode MS" w:eastAsia="Arial Unicode MS" w:cs="Arial Unicode MS"/>
          <w:sz w:val="28"/>
          <w:szCs w:val="28"/>
        </w:rPr>
        <w:t>ntroduction</w:t>
      </w:r>
    </w:p>
    <w:p>
      <w:pPr>
        <w:snapToGrid w:val="0"/>
        <w:spacing w:before="180" w:beforeLines="50"/>
        <w:rPr>
          <w:rFonts w:hAnsi="宋体" w:eastAsia="宋体"/>
          <w:szCs w:val="20"/>
          <w:lang w:val="en-GB"/>
        </w:rPr>
      </w:pPr>
      <w:r>
        <w:rPr>
          <w:rFonts w:hAnsi="宋体" w:eastAsia="Times New Roman"/>
          <w:szCs w:val="20"/>
          <w:lang w:val="en-GB" w:eastAsia="en-US"/>
        </w:rPr>
        <w:t xml:space="preserve">In </w:t>
      </w:r>
      <w:r>
        <w:t xml:space="preserve">RAN1#90 </w:t>
      </w:r>
      <w:r>
        <w:rPr>
          <w:rFonts w:hint="eastAsia" w:hAnsi="宋体" w:eastAsia="宋体"/>
          <w:szCs w:val="20"/>
          <w:lang w:val="en-GB"/>
        </w:rPr>
        <w:t>meeting</w:t>
      </w:r>
      <w:r>
        <w:rPr>
          <w:rFonts w:hAnsi="宋体" w:eastAsia="Times New Roman"/>
          <w:szCs w:val="20"/>
          <w:lang w:val="en-GB" w:eastAsia="en-US"/>
        </w:rPr>
        <w:t xml:space="preserve">, </w:t>
      </w:r>
      <w:r>
        <w:rPr>
          <w:rFonts w:hint="eastAsia" w:hAnsi="宋体" w:eastAsia="宋体"/>
          <w:szCs w:val="20"/>
          <w:lang w:val="en-GB"/>
        </w:rPr>
        <w:t>the follow</w:t>
      </w:r>
      <w:r>
        <w:rPr>
          <w:rFonts w:hAnsi="宋体" w:eastAsia="宋体"/>
          <w:szCs w:val="20"/>
          <w:lang w:val="en-GB"/>
        </w:rPr>
        <w:t xml:space="preserve">ing </w:t>
      </w:r>
      <w:r>
        <w:rPr>
          <w:rFonts w:hint="eastAsia" w:hAnsi="宋体" w:eastAsia="宋体"/>
          <w:szCs w:val="20"/>
          <w:lang w:val="en-GB"/>
        </w:rPr>
        <w:t>agreements</w:t>
      </w:r>
      <w:r>
        <w:rPr>
          <w:rFonts w:hint="eastAsia" w:hAnsi="宋体" w:eastAsia="宋体"/>
          <w:szCs w:val="20"/>
        </w:rPr>
        <w:t xml:space="preserve"> </w:t>
      </w:r>
      <w:r>
        <w:rPr>
          <w:rFonts w:hint="eastAsia" w:hAnsi="宋体" w:eastAsia="宋体"/>
          <w:szCs w:val="20"/>
          <w:lang w:val="en-GB"/>
        </w:rPr>
        <w:t xml:space="preserve">were made </w:t>
      </w:r>
      <w:r>
        <w:rPr>
          <w:rFonts w:hAnsi="宋体" w:eastAsia="宋体"/>
          <w:szCs w:val="20"/>
          <w:lang w:val="en-GB"/>
        </w:rPr>
        <w:t>on power control</w:t>
      </w:r>
      <w:r>
        <w:rPr>
          <w:rFonts w:hAnsi="宋体" w:eastAsia="Times New Roman"/>
          <w:szCs w:val="20"/>
          <w:lang w:val="en-GB" w:eastAsia="en-US"/>
        </w:rPr>
        <w:t xml:space="preserve"> for NR UL MIMO</w:t>
      </w:r>
      <w:r>
        <w:rPr>
          <w:rFonts w:hint="eastAsia" w:hAnsi="宋体" w:eastAsia="宋体"/>
          <w:szCs w:val="20"/>
          <w:lang w:val="en-GB"/>
        </w:rPr>
        <w:t xml:space="preserve"> [1].</w:t>
      </w:r>
    </w:p>
    <w:p>
      <w:pPr>
        <w:snapToGrid w:val="0"/>
        <w:spacing w:before="108" w:beforeLines="30"/>
        <w:rPr>
          <w:rFonts w:hAnsi="宋体" w:eastAsia="Times New Roman"/>
          <w:i/>
          <w:szCs w:val="20"/>
          <w:u w:val="single"/>
          <w:lang w:val="en-GB" w:eastAsia="en-US"/>
        </w:rPr>
      </w:pPr>
      <w:r>
        <w:rPr>
          <w:rFonts w:hAnsi="宋体" w:eastAsia="Times New Roman"/>
          <w:i/>
          <w:szCs w:val="20"/>
          <w:u w:val="single"/>
          <w:lang w:val="en-GB" w:eastAsia="en-US"/>
        </w:rPr>
        <w:t>Agreements:</w:t>
      </w:r>
    </w:p>
    <w:p>
      <w:pPr>
        <w:numPr>
          <w:ilvl w:val="0"/>
          <w:numId w:val="2"/>
        </w:numPr>
        <w:tabs>
          <w:tab w:val="left" w:pos="1440"/>
        </w:tabs>
        <w:snapToGrid w:val="0"/>
        <w:spacing w:before="108" w:beforeLines="30"/>
        <w:rPr>
          <w:rFonts w:eastAsia="MS Mincho"/>
          <w:i/>
          <w:iCs/>
          <w:szCs w:val="20"/>
          <w:lang w:eastAsia="ja-JP"/>
        </w:rPr>
      </w:pPr>
      <w:r>
        <w:rPr>
          <w:rFonts w:eastAsia="MS Mincho"/>
          <w:i/>
          <w:iCs/>
          <w:szCs w:val="20"/>
          <w:lang w:eastAsia="ja-JP"/>
        </w:rPr>
        <w:t xml:space="preserve">For open-loop power control parameters for PUSCH for a UE, </w:t>
      </w:r>
    </w:p>
    <w:p>
      <w:pPr>
        <w:numPr>
          <w:ilvl w:val="1"/>
          <w:numId w:val="2"/>
        </w:numPr>
        <w:snapToGrid w:val="0"/>
        <w:spacing w:before="108" w:beforeLines="30"/>
        <w:rPr>
          <w:rFonts w:eastAsia="MS Mincho"/>
          <w:i/>
          <w:iCs/>
          <w:szCs w:val="20"/>
          <w:lang w:eastAsia="ja-JP"/>
        </w:rPr>
      </w:pPr>
      <w:r>
        <w:rPr>
          <w:rFonts w:eastAsia="MS Mincho"/>
          <w:i/>
          <w:iCs/>
          <w:szCs w:val="20"/>
          <w:lang w:eastAsia="ja-JP"/>
        </w:rPr>
        <w:t xml:space="preserve">gNB configures one or multiple P0 values </w:t>
      </w:r>
    </w:p>
    <w:p>
      <w:pPr>
        <w:numPr>
          <w:ilvl w:val="2"/>
          <w:numId w:val="2"/>
        </w:numPr>
        <w:tabs>
          <w:tab w:val="left" w:pos="1440"/>
        </w:tabs>
        <w:snapToGrid w:val="0"/>
        <w:spacing w:before="108" w:beforeLines="30"/>
        <w:rPr>
          <w:rFonts w:eastAsia="MS Mincho"/>
          <w:i/>
          <w:iCs/>
          <w:szCs w:val="20"/>
          <w:lang w:eastAsia="ja-JP"/>
        </w:rPr>
      </w:pPr>
      <w:r>
        <w:rPr>
          <w:rFonts w:eastAsia="MS Mincho"/>
          <w:i/>
          <w:iCs/>
          <w:szCs w:val="20"/>
          <w:lang w:eastAsia="ja-JP"/>
        </w:rPr>
        <w:t>e.g., for specific combination(s) of one or more beam(s), waveform (if agreed) and service type (if agreed)</w:t>
      </w:r>
    </w:p>
    <w:p>
      <w:pPr>
        <w:numPr>
          <w:ilvl w:val="1"/>
          <w:numId w:val="2"/>
        </w:numPr>
        <w:snapToGrid w:val="0"/>
        <w:spacing w:before="108" w:beforeLines="30"/>
        <w:rPr>
          <w:rFonts w:eastAsia="MS Mincho"/>
          <w:i/>
          <w:iCs/>
          <w:szCs w:val="20"/>
          <w:lang w:eastAsia="ja-JP"/>
        </w:rPr>
      </w:pPr>
      <w:r>
        <w:rPr>
          <w:rFonts w:eastAsia="MS Mincho"/>
          <w:i/>
          <w:iCs/>
          <w:szCs w:val="20"/>
          <w:lang w:eastAsia="ja-JP"/>
        </w:rPr>
        <w:t>gNB can configure one or multiple alpha values</w:t>
      </w:r>
    </w:p>
    <w:p>
      <w:pPr>
        <w:numPr>
          <w:ilvl w:val="0"/>
          <w:numId w:val="2"/>
        </w:numPr>
        <w:tabs>
          <w:tab w:val="left" w:pos="1440"/>
        </w:tabs>
        <w:snapToGrid w:val="0"/>
        <w:spacing w:before="108" w:beforeLines="30"/>
        <w:rPr>
          <w:rFonts w:eastAsia="MS Mincho"/>
          <w:i/>
          <w:iCs/>
          <w:szCs w:val="20"/>
          <w:lang w:eastAsia="ja-JP"/>
        </w:rPr>
      </w:pPr>
      <w:r>
        <w:rPr>
          <w:rFonts w:eastAsia="MS Mincho"/>
          <w:i/>
          <w:iCs/>
          <w:szCs w:val="20"/>
          <w:lang w:eastAsia="ja-JP"/>
        </w:rPr>
        <w:t xml:space="preserve">FFS the case of closed-loop power control </w:t>
      </w:r>
    </w:p>
    <w:p>
      <w:pPr>
        <w:numPr>
          <w:ilvl w:val="0"/>
          <w:numId w:val="2"/>
        </w:numPr>
        <w:tabs>
          <w:tab w:val="left" w:pos="1440"/>
        </w:tabs>
        <w:snapToGrid w:val="0"/>
        <w:spacing w:before="108" w:beforeLines="30"/>
        <w:rPr>
          <w:rFonts w:eastAsia="MS Mincho"/>
          <w:b/>
          <w:i/>
          <w:iCs/>
          <w:szCs w:val="20"/>
          <w:lang w:eastAsia="ja-JP"/>
        </w:rPr>
      </w:pPr>
      <w:r>
        <w:rPr>
          <w:rFonts w:eastAsia="MS Mincho"/>
          <w:i/>
          <w:iCs/>
          <w:szCs w:val="20"/>
          <w:lang w:eastAsia="ja-JP"/>
        </w:rPr>
        <w:t>FFS how to handle reconfiguration of open-loop power control parameters for PUSCH for a UE, e.g., reset or not reset closed-loop power control</w:t>
      </w:r>
    </w:p>
    <w:p>
      <w:pPr>
        <w:numPr>
          <w:ilvl w:val="0"/>
          <w:numId w:val="3"/>
        </w:numPr>
        <w:tabs>
          <w:tab w:val="left" w:pos="720"/>
          <w:tab w:val="left" w:pos="1440"/>
        </w:tabs>
        <w:snapToGrid w:val="0"/>
        <w:spacing w:before="108" w:beforeLines="30"/>
        <w:rPr>
          <w:i/>
          <w:iCs/>
          <w:szCs w:val="20"/>
        </w:rPr>
      </w:pPr>
      <w:r>
        <w:rPr>
          <w:rFonts w:hint="eastAsia"/>
          <w:i/>
          <w:iCs/>
          <w:szCs w:val="20"/>
        </w:rPr>
        <w:t>PL calculation</w:t>
      </w:r>
      <w:r>
        <w:rPr>
          <w:i/>
          <w:iCs/>
          <w:szCs w:val="20"/>
        </w:rPr>
        <w:t xml:space="preserve"> can be based on</w:t>
      </w:r>
      <w:r>
        <w:rPr>
          <w:rFonts w:hint="eastAsia"/>
          <w:i/>
          <w:iCs/>
          <w:szCs w:val="20"/>
        </w:rPr>
        <w:t xml:space="preserve"> periodic CSI-RS </w:t>
      </w:r>
      <w:r>
        <w:rPr>
          <w:i/>
          <w:iCs/>
          <w:szCs w:val="20"/>
        </w:rPr>
        <w:t>if configured</w:t>
      </w:r>
      <w:r>
        <w:rPr>
          <w:rFonts w:hint="eastAsia"/>
          <w:i/>
          <w:iCs/>
          <w:szCs w:val="20"/>
        </w:rPr>
        <w:t xml:space="preserve"> at least for the </w:t>
      </w:r>
      <w:r>
        <w:rPr>
          <w:i/>
          <w:iCs/>
          <w:szCs w:val="20"/>
        </w:rPr>
        <w:t>following</w:t>
      </w:r>
      <w:r>
        <w:rPr>
          <w:rFonts w:hint="eastAsia"/>
          <w:i/>
          <w:iCs/>
          <w:szCs w:val="20"/>
        </w:rPr>
        <w:t xml:space="preserve"> </w:t>
      </w:r>
      <w:r>
        <w:rPr>
          <w:i/>
          <w:iCs/>
          <w:szCs w:val="20"/>
        </w:rPr>
        <w:t>cases:</w:t>
      </w:r>
    </w:p>
    <w:p>
      <w:pPr>
        <w:numPr>
          <w:ilvl w:val="1"/>
          <w:numId w:val="3"/>
        </w:numPr>
        <w:tabs>
          <w:tab w:val="left" w:pos="720"/>
          <w:tab w:val="left" w:pos="1440"/>
        </w:tabs>
        <w:snapToGrid w:val="0"/>
        <w:spacing w:before="108" w:beforeLines="30"/>
        <w:rPr>
          <w:i/>
          <w:iCs/>
          <w:szCs w:val="20"/>
        </w:rPr>
      </w:pPr>
      <w:r>
        <w:rPr>
          <w:rFonts w:hint="eastAsia"/>
          <w:i/>
          <w:iCs/>
          <w:szCs w:val="20"/>
        </w:rPr>
        <w:t>PUSCH</w:t>
      </w:r>
    </w:p>
    <w:p>
      <w:pPr>
        <w:numPr>
          <w:ilvl w:val="1"/>
          <w:numId w:val="3"/>
        </w:numPr>
        <w:tabs>
          <w:tab w:val="left" w:pos="720"/>
          <w:tab w:val="left" w:pos="1440"/>
        </w:tabs>
        <w:snapToGrid w:val="0"/>
        <w:spacing w:before="108" w:beforeLines="30"/>
        <w:rPr>
          <w:i/>
          <w:iCs/>
          <w:szCs w:val="20"/>
        </w:rPr>
      </w:pPr>
      <w:r>
        <w:rPr>
          <w:i/>
          <w:iCs/>
          <w:szCs w:val="20"/>
        </w:rPr>
        <w:t xml:space="preserve">SRS </w:t>
      </w:r>
    </w:p>
    <w:p>
      <w:pPr>
        <w:numPr>
          <w:ilvl w:val="1"/>
          <w:numId w:val="3"/>
        </w:numPr>
        <w:tabs>
          <w:tab w:val="left" w:pos="720"/>
          <w:tab w:val="left" w:pos="1440"/>
        </w:tabs>
        <w:snapToGrid w:val="0"/>
        <w:spacing w:before="108" w:beforeLines="30"/>
        <w:rPr>
          <w:rFonts w:eastAsia="MS Mincho"/>
          <w:i/>
          <w:iCs/>
          <w:szCs w:val="20"/>
          <w:lang w:eastAsia="ja-JP"/>
        </w:rPr>
      </w:pPr>
      <w:r>
        <w:rPr>
          <w:i/>
          <w:iCs/>
          <w:szCs w:val="20"/>
        </w:rPr>
        <w:t xml:space="preserve">PUCCH </w:t>
      </w:r>
    </w:p>
    <w:p>
      <w:pPr>
        <w:numPr>
          <w:ilvl w:val="0"/>
          <w:numId w:val="3"/>
        </w:numPr>
        <w:tabs>
          <w:tab w:val="left" w:pos="720"/>
          <w:tab w:val="left" w:pos="1440"/>
        </w:tabs>
        <w:snapToGrid w:val="0"/>
        <w:spacing w:before="108" w:beforeLines="30"/>
        <w:rPr>
          <w:i/>
          <w:iCs/>
          <w:szCs w:val="20"/>
        </w:rPr>
      </w:pPr>
      <w:r>
        <w:rPr>
          <w:i/>
          <w:iCs/>
          <w:szCs w:val="20"/>
        </w:rPr>
        <w:t>It is up to RAN4 to discuss how to support any power back-off needed for CP-OFDM transmission compared with DFT-S-OFDM transmission</w:t>
      </w:r>
    </w:p>
    <w:p>
      <w:pPr>
        <w:numPr>
          <w:ilvl w:val="1"/>
          <w:numId w:val="3"/>
        </w:numPr>
        <w:tabs>
          <w:tab w:val="left" w:pos="720"/>
          <w:tab w:val="left" w:pos="1440"/>
        </w:tabs>
        <w:snapToGrid w:val="0"/>
        <w:spacing w:before="108" w:beforeLines="30"/>
        <w:rPr>
          <w:i/>
          <w:iCs/>
          <w:szCs w:val="20"/>
        </w:rPr>
      </w:pPr>
      <w:r>
        <w:rPr>
          <w:i/>
          <w:iCs/>
          <w:szCs w:val="20"/>
        </w:rPr>
        <w:t>E.g., specification of fixed power back-off, specification of power back-off as MPR</w:t>
      </w:r>
    </w:p>
    <w:p>
      <w:pPr>
        <w:snapToGrid w:val="0"/>
        <w:spacing w:before="180" w:beforeLines="50"/>
        <w:jc w:val="both"/>
        <w:rPr>
          <w:rFonts w:eastAsia="宋体"/>
        </w:rPr>
      </w:pPr>
      <w:r>
        <w:rPr>
          <w:rFonts w:hint="eastAsia" w:eastAsia="宋体"/>
        </w:rPr>
        <w:t>There are also many agreements from previous meetings [2]~[4], based on these agreements we provide our considerations on framework of power control (PC), power headroom report (PHR) and the related details in this contribution.</w:t>
      </w:r>
    </w:p>
    <w:p>
      <w:pPr>
        <w:pStyle w:val="2"/>
        <w:keepNext/>
        <w:tabs>
          <w:tab w:val="left" w:pos="3686"/>
          <w:tab w:val="left" w:pos="4536"/>
        </w:tabs>
        <w:autoSpaceDE/>
        <w:autoSpaceDN/>
        <w:snapToGrid w:val="0"/>
        <w:spacing w:before="180" w:beforeLines="50" w:beforeAutospacing="0" w:after="0" w:afterAutospacing="0" w:line="240" w:lineRule="auto"/>
        <w:textAlignment w:val="baseline"/>
        <w:rPr>
          <w:rFonts w:ascii="Arial Unicode MS" w:hAnsi="Arial Unicode MS" w:eastAsia="Arial Unicode MS" w:cs="Arial Unicode MS"/>
          <w:sz w:val="28"/>
          <w:szCs w:val="28"/>
        </w:rPr>
      </w:pPr>
      <w:r>
        <w:rPr>
          <w:rFonts w:hint="eastAsia" w:ascii="Arial Unicode MS" w:hAnsi="Arial Unicode MS" w:eastAsia="Arial Unicode MS" w:cs="Arial Unicode MS"/>
          <w:sz w:val="28"/>
          <w:szCs w:val="28"/>
        </w:rPr>
        <w:t>Discussion</w:t>
      </w:r>
    </w:p>
    <w:p>
      <w:pPr>
        <w:pStyle w:val="3"/>
        <w:widowControl w:val="0"/>
        <w:tabs>
          <w:tab w:val="left" w:pos="3686"/>
          <w:tab w:val="left" w:pos="4536"/>
        </w:tabs>
        <w:snapToGrid w:val="0"/>
        <w:spacing w:before="180" w:beforeLines="50" w:beforeAutospacing="0" w:after="0" w:afterAutospacing="0" w:line="240" w:lineRule="auto"/>
        <w:jc w:val="both"/>
        <w:rPr>
          <w:rFonts w:ascii="Arial Unicode MS" w:hAnsi="Arial Unicode MS" w:eastAsia="Arial Unicode MS" w:cs="Arial Unicode MS"/>
        </w:rPr>
      </w:pPr>
      <w:r>
        <w:rPr>
          <w:rFonts w:ascii="Arial Unicode MS" w:hAnsi="Arial Unicode MS" w:eastAsia="Arial Unicode MS" w:cs="Arial Unicode MS"/>
        </w:rPr>
        <w:t>Beam</w:t>
      </w:r>
      <w:r>
        <w:rPr>
          <w:rFonts w:hint="eastAsia" w:ascii="Arial Unicode MS" w:hAnsi="Arial Unicode MS" w:eastAsia="Arial Unicode MS" w:cs="Arial Unicode MS"/>
        </w:rPr>
        <w:t xml:space="preserve"> </w:t>
      </w:r>
      <w:r>
        <w:rPr>
          <w:rFonts w:hint="eastAsia" w:ascii="Arial Unicode MS" w:hAnsi="Arial Unicode MS" w:eastAsia="宋体" w:cs="Arial Unicode MS"/>
        </w:rPr>
        <w:t xml:space="preserve">group </w:t>
      </w:r>
      <w:r>
        <w:rPr>
          <w:rFonts w:hint="eastAsia" w:ascii="Arial Unicode MS" w:hAnsi="Arial Unicode MS" w:eastAsia="Arial Unicode MS" w:cs="Arial Unicode MS"/>
        </w:rPr>
        <w:t xml:space="preserve">specific </w:t>
      </w:r>
      <w:r>
        <w:rPr>
          <w:rFonts w:hint="eastAsia" w:ascii="Arial Unicode MS" w:hAnsi="Arial Unicode MS" w:eastAsia="宋体" w:cs="Arial Unicode MS"/>
        </w:rPr>
        <w:t>power control</w:t>
      </w:r>
    </w:p>
    <w:p>
      <w:pPr>
        <w:pStyle w:val="71"/>
        <w:snapToGrid w:val="0"/>
        <w:spacing w:before="180" w:beforeLines="50" w:after="0" w:line="240" w:lineRule="auto"/>
        <w:ind w:firstLine="0"/>
        <w:rPr>
          <w:sz w:val="20"/>
        </w:rPr>
      </w:pPr>
      <w:r>
        <w:rPr>
          <w:rFonts w:hint="eastAsia"/>
          <w:sz w:val="20"/>
        </w:rPr>
        <w:t xml:space="preserve">For interpretation of beam specific power control, BPL specific power control is the most accurate one but not proper in reality because it tends to be fragile, any minor beam change would invalidate the current power control loop. Furthermore, BPL specific PC requires UE to know the information of the UL RX beam, which may not be possible since UE is not supposed to </w:t>
      </w:r>
      <w:r>
        <w:rPr>
          <w:sz w:val="20"/>
        </w:rPr>
        <w:t>know</w:t>
      </w:r>
      <w:r>
        <w:rPr>
          <w:rFonts w:hint="eastAsia"/>
          <w:sz w:val="20"/>
        </w:rPr>
        <w:t xml:space="preserve"> gNB</w:t>
      </w:r>
      <w:r>
        <w:rPr>
          <w:sz w:val="20"/>
        </w:rPr>
        <w:t xml:space="preserve"> implementation on Rx beam</w:t>
      </w:r>
      <w:r>
        <w:rPr>
          <w:rFonts w:hint="eastAsia"/>
          <w:sz w:val="20"/>
        </w:rPr>
        <w:t>. Therefore,</w:t>
      </w:r>
      <w:r>
        <w:rPr>
          <w:sz w:val="20"/>
        </w:rPr>
        <w:t xml:space="preserve"> </w:t>
      </w:r>
      <w:r>
        <w:rPr>
          <w:rFonts w:hint="eastAsia"/>
          <w:sz w:val="20"/>
        </w:rPr>
        <w:t>instead of BPL specific PC, it is more reasonable to support</w:t>
      </w:r>
      <w:r>
        <w:rPr>
          <w:sz w:val="20"/>
        </w:rPr>
        <w:t xml:space="preserve"> beam group</w:t>
      </w:r>
      <w:r>
        <w:rPr>
          <w:rFonts w:hint="eastAsia"/>
          <w:sz w:val="20"/>
        </w:rPr>
        <w:t xml:space="preserve"> specific power control.</w:t>
      </w:r>
    </w:p>
    <w:p>
      <w:pPr>
        <w:pStyle w:val="71"/>
        <w:snapToGrid w:val="0"/>
        <w:spacing w:before="180" w:beforeLines="50" w:after="0" w:line="240" w:lineRule="auto"/>
        <w:ind w:firstLine="0"/>
        <w:rPr>
          <w:sz w:val="20"/>
        </w:rPr>
      </w:pPr>
      <w:r>
        <w:rPr>
          <w:rFonts w:hint="eastAsia"/>
          <w:sz w:val="20"/>
        </w:rPr>
        <w:t xml:space="preserve">To be more specific, beam group specific power control means uplink TX beam group power control, with uplink RX beam transparent to UE. </w:t>
      </w:r>
    </w:p>
    <w:p>
      <w:pPr>
        <w:snapToGrid w:val="0"/>
        <w:spacing w:before="180" w:beforeLines="50"/>
        <w:jc w:val="both"/>
        <w:rPr>
          <w:rFonts w:eastAsia="宋体"/>
        </w:rPr>
      </w:pPr>
      <w:r>
        <w:rPr>
          <w:rFonts w:hint="eastAsia" w:eastAsia="宋体"/>
        </w:rPr>
        <w:t xml:space="preserve">Among all the parameters of UL </w:t>
      </w:r>
      <w:r>
        <w:rPr>
          <w:rFonts w:eastAsia="宋体"/>
        </w:rPr>
        <w:t>transm</w:t>
      </w:r>
      <w:r>
        <w:rPr>
          <w:rFonts w:hint="eastAsia" w:eastAsia="宋体"/>
        </w:rPr>
        <w:t xml:space="preserve">it power control in LTE, taking the following formula (1) of PUSCH as an example, for one CC, in our opinion, </w:t>
      </w:r>
    </w:p>
    <w:p>
      <w:pPr>
        <w:numPr>
          <w:ilvl w:val="0"/>
          <w:numId w:val="4"/>
        </w:numPr>
        <w:snapToGrid w:val="0"/>
        <w:spacing w:before="180" w:beforeLines="50"/>
        <w:jc w:val="both"/>
        <w:rPr>
          <w:rFonts w:eastAsia="宋体"/>
        </w:rPr>
      </w:pPr>
      <w:r>
        <w:rPr>
          <w:rFonts w:hint="eastAsia" w:eastAsia="宋体"/>
        </w:rPr>
        <w:t xml:space="preserve">P0 (noted as </w:t>
      </w:r>
      <w:r>
        <w:rPr>
          <w:rFonts w:hint="eastAsia" w:eastAsia="宋体"/>
          <w:position w:val="-14"/>
        </w:rPr>
        <w:object>
          <v:shape id="_x0000_i1025" o:spt="75" type="#_x0000_t75" style="height:19pt;width:40pt;" o:ole="t" filled="f" o:preferrelative="t" stroked="f" coordsize="21600,21600">
            <v:path/>
            <v:fill on="f" focussize="0,0"/>
            <v:stroke on="f" joinstyle="miter"/>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eastAsia="宋体"/>
        </w:rPr>
        <w:t xml:space="preserve">) UE specific part, </w:t>
      </w:r>
      <w:r>
        <w:rPr>
          <w:rFonts w:hint="eastAsia" w:eastAsia="宋体"/>
          <w:i/>
          <w:iCs/>
        </w:rPr>
        <w:t>PL</w:t>
      </w:r>
      <w:r>
        <w:rPr>
          <w:rFonts w:hint="eastAsia" w:eastAsia="宋体"/>
        </w:rPr>
        <w:t>,</w:t>
      </w:r>
      <w:r>
        <w:rPr>
          <w:rFonts w:hint="eastAsia" w:eastAsia="宋体"/>
          <w:i/>
          <w:iCs/>
        </w:rPr>
        <w:t xml:space="preserve"> </w:t>
      </w:r>
      <w:r>
        <w:rPr>
          <w:rFonts w:hint="eastAsia" w:eastAsia="宋体"/>
          <w:i/>
          <w:iCs/>
          <w:position w:val="-6"/>
        </w:rPr>
        <w:object>
          <v:shape id="_x0000_i1026" o:spt="75" type="#_x0000_t75" style="height:11pt;width:12pt;" o:ole="t" filled="f" o:preferrelative="t" stroked="f" coordsize="21600,21600">
            <v:path/>
            <v:fill on="f" focussize="0,0"/>
            <v:stroke on="f" joinstyle="miter"/>
            <v:imagedata r:id="rId7" o:title=""/>
            <o:lock v:ext="edit" aspectratio="t"/>
            <w10:wrap type="none"/>
            <w10:anchorlock/>
          </v:shape>
          <o:OLEObject Type="Embed" ProgID="Equation.KSEE3" ShapeID="_x0000_i1026" DrawAspect="Content" ObjectID="_1468075726" r:id="rId6">
            <o:LockedField>false</o:LockedField>
          </o:OLEObject>
        </w:object>
      </w:r>
      <w:r>
        <w:rPr>
          <w:rFonts w:hint="eastAsia" w:eastAsia="宋体"/>
        </w:rPr>
        <w:t xml:space="preserve">and </w:t>
      </w:r>
      <w:r>
        <w:rPr>
          <w:rFonts w:hint="eastAsia" w:eastAsia="宋体"/>
          <w:position w:val="-10"/>
        </w:rPr>
        <w:object>
          <v:shape id="_x0000_i1027" o:spt="75" type="#_x0000_t75" style="height:17pt;width:23pt;" o:ole="t" filled="f" o:preferrelative="t" stroked="f" coordsize="21600,21600">
            <v:path/>
            <v:fill on="f" focussize="0,0"/>
            <v:stroke on="f" joinstyle="miter"/>
            <v:imagedata r:id="rId9" o:title=""/>
            <o:lock v:ext="edit" aspectratio="t"/>
            <w10:wrap type="none"/>
            <w10:anchorlock/>
          </v:shape>
          <o:OLEObject Type="Embed" ProgID="Equation.KSEE3" ShapeID="_x0000_i1027" DrawAspect="Content" ObjectID="_1468075727" r:id="rId8">
            <o:LockedField>false</o:LockedField>
          </o:OLEObject>
        </w:object>
      </w:r>
      <w:r>
        <w:rPr>
          <w:rFonts w:hint="eastAsia" w:eastAsia="宋体"/>
        </w:rPr>
        <w:t>should be beam group specific.</w:t>
      </w:r>
    </w:p>
    <w:p>
      <w:pPr>
        <w:numPr>
          <w:ilvl w:val="0"/>
          <w:numId w:val="4"/>
        </w:numPr>
        <w:snapToGrid w:val="0"/>
        <w:spacing w:before="180" w:beforeLines="50"/>
        <w:jc w:val="both"/>
        <w:rPr>
          <w:rFonts w:eastAsia="宋体"/>
        </w:rPr>
      </w:pPr>
      <w:r>
        <w:rPr>
          <w:rFonts w:hint="eastAsia" w:eastAsia="宋体"/>
        </w:rPr>
        <w:t xml:space="preserve">P0 (noted as </w:t>
      </w:r>
      <w:r>
        <w:rPr>
          <w:rFonts w:hint="eastAsia" w:eastAsia="宋体"/>
          <w:position w:val="-14"/>
        </w:rPr>
        <w:object>
          <v:shape id="_x0000_i1028" o:spt="75" type="#_x0000_t75" style="height:19pt;width:40pt;" o:ole="t" filled="f" o:preferrelative="t" stroked="f" coordsize="21600,21600">
            <v:path/>
            <v:fill on="f" focussize="0,0"/>
            <v:stroke on="f" joinstyle="miter"/>
            <v:imagedata r:id="rId5" o:title=""/>
            <o:lock v:ext="edit" aspectratio="t"/>
            <w10:wrap type="none"/>
            <w10:anchorlock/>
          </v:shape>
          <o:OLEObject Type="Embed" ProgID="Equation.KSEE3" ShapeID="_x0000_i1028" DrawAspect="Content" ObjectID="_1468075728" r:id="rId10">
            <o:LockedField>false</o:LockedField>
          </o:OLEObject>
        </w:object>
      </w:r>
      <w:r>
        <w:rPr>
          <w:rFonts w:hint="eastAsia" w:eastAsia="宋体"/>
        </w:rPr>
        <w:t>) cell specific part should be UE specific.</w:t>
      </w:r>
    </w:p>
    <w:p>
      <w:pPr>
        <w:numPr>
          <w:ilvl w:val="0"/>
          <w:numId w:val="4"/>
        </w:numPr>
        <w:snapToGrid w:val="0"/>
        <w:spacing w:before="180" w:beforeLines="50"/>
        <w:jc w:val="both"/>
        <w:rPr>
          <w:rFonts w:eastAsia="宋体"/>
        </w:rPr>
      </w:pPr>
      <w:r>
        <w:rPr>
          <w:position w:val="-12"/>
          <w:lang w:val="en-GB"/>
        </w:rPr>
        <w:object>
          <v:shape id="_x0000_i1029" o:spt="75" type="#_x0000_t75" style="height:18pt;width:30pt;" o:ole="t" filled="f" o:preferrelative="t" stroked="f" coordsize="21600,21600">
            <v:path/>
            <v:fill on="f" focussize="0,0"/>
            <v:stroke on="f" joinstyle="miter"/>
            <v:imagedata r:id="rId12" o:title=""/>
            <o:lock v:ext="edit" aspectratio="t"/>
            <w10:wrap type="none"/>
            <w10:anchorlock/>
          </v:shape>
          <o:OLEObject Type="Embed" ProgID="Equation.KSEE3" ShapeID="_x0000_i1029" DrawAspect="Content" ObjectID="_1468075729" r:id="rId11">
            <o:LockedField>false</o:LockedField>
          </o:OLEObject>
        </w:object>
      </w:r>
      <w:r>
        <w:rPr>
          <w:rFonts w:hint="eastAsia" w:eastAsia="宋体"/>
        </w:rPr>
        <w:t xml:space="preserve"> should be UE specific.</w:t>
      </w:r>
    </w:p>
    <w:p>
      <w:pPr>
        <w:numPr>
          <w:ilvl w:val="0"/>
          <w:numId w:val="4"/>
        </w:numPr>
        <w:snapToGrid w:val="0"/>
        <w:spacing w:before="180" w:beforeLines="50"/>
        <w:jc w:val="both"/>
        <w:rPr>
          <w:rFonts w:eastAsia="宋体"/>
        </w:rPr>
      </w:pPr>
      <w:r>
        <w:rPr>
          <w:lang w:val="en-GB"/>
        </w:rPr>
        <w:drawing>
          <wp:inline distT="0" distB="0" distL="114300" distR="114300">
            <wp:extent cx="485775" cy="228600"/>
            <wp:effectExtent l="0" t="0" r="1905" b="0"/>
            <wp:docPr id="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1"/>
                    <pic:cNvPicPr>
                      <a:picLocks noChangeAspect="1"/>
                    </pic:cNvPicPr>
                  </pic:nvPicPr>
                  <pic:blipFill>
                    <a:blip r:embed="rId13"/>
                    <a:stretch>
                      <a:fillRect/>
                    </a:stretch>
                  </pic:blipFill>
                  <pic:spPr>
                    <a:xfrm>
                      <a:off x="0" y="0"/>
                      <a:ext cx="485775" cy="228600"/>
                    </a:xfrm>
                    <a:prstGeom prst="rect">
                      <a:avLst/>
                    </a:prstGeom>
                    <a:noFill/>
                    <a:ln w="9525">
                      <a:noFill/>
                    </a:ln>
                  </pic:spPr>
                </pic:pic>
              </a:graphicData>
            </a:graphic>
          </wp:inline>
        </w:drawing>
      </w:r>
      <w:r>
        <w:rPr>
          <w:rFonts w:hint="eastAsia" w:eastAsia="宋体"/>
        </w:rPr>
        <w:t xml:space="preserve">, </w:t>
      </w:r>
      <w:r>
        <w:rPr>
          <w:lang w:val="en-GB"/>
        </w:rPr>
        <w:drawing>
          <wp:inline distT="0" distB="0" distL="114300" distR="114300">
            <wp:extent cx="247650" cy="209550"/>
            <wp:effectExtent l="0" t="0" r="11430" b="3175"/>
            <wp:docPr id="1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2"/>
                    <pic:cNvPicPr>
                      <a:picLocks noChangeAspect="1"/>
                    </pic:cNvPicPr>
                  </pic:nvPicPr>
                  <pic:blipFill>
                    <a:blip r:embed="rId14"/>
                    <a:stretch>
                      <a:fillRect/>
                    </a:stretch>
                  </pic:blipFill>
                  <pic:spPr>
                    <a:xfrm>
                      <a:off x="0" y="0"/>
                      <a:ext cx="247650" cy="209550"/>
                    </a:xfrm>
                    <a:prstGeom prst="rect">
                      <a:avLst/>
                    </a:prstGeom>
                    <a:noFill/>
                    <a:ln w="9525">
                      <a:noFill/>
                    </a:ln>
                  </pic:spPr>
                </pic:pic>
              </a:graphicData>
            </a:graphic>
          </wp:inline>
        </w:drawing>
      </w:r>
      <w:r>
        <w:rPr>
          <w:rFonts w:hint="eastAsia"/>
        </w:rPr>
        <w:t xml:space="preserve"> </w:t>
      </w:r>
      <w:r>
        <w:rPr>
          <w:rFonts w:hint="eastAsia" w:eastAsia="宋体"/>
        </w:rPr>
        <w:t>should be transmission scheduling related factors.</w:t>
      </w:r>
    </w:p>
    <w:p>
      <w:pPr>
        <w:widowControl w:val="0"/>
        <w:snapToGrid w:val="0"/>
        <w:spacing w:before="180" w:beforeLines="50"/>
        <w:jc w:val="center"/>
        <w:rPr>
          <w:rFonts w:eastAsia="宋体"/>
          <w:kern w:val="2"/>
          <w:sz w:val="21"/>
          <w:szCs w:val="24"/>
        </w:rPr>
      </w:pPr>
      <w:r>
        <w:rPr>
          <w:rFonts w:eastAsia="宋体"/>
          <w:kern w:val="2"/>
          <w:position w:val="-34"/>
          <w:sz w:val="21"/>
          <w:szCs w:val="24"/>
        </w:rPr>
        <w:object>
          <v:shape id="_x0000_i1030" o:spt="75" type="#_x0000_t75" style="height:41pt;width:401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rPr>
          <w:rFonts w:hint="eastAsia" w:eastAsia="宋体"/>
          <w:kern w:val="2"/>
          <w:sz w:val="21"/>
          <w:szCs w:val="24"/>
        </w:rPr>
        <w:tab/>
      </w:r>
      <w:r>
        <w:rPr>
          <w:rFonts w:hint="eastAsia" w:eastAsia="宋体"/>
          <w:kern w:val="2"/>
          <w:sz w:val="21"/>
          <w:szCs w:val="24"/>
        </w:rPr>
        <w:t>(1)</w:t>
      </w:r>
    </w:p>
    <w:p>
      <w:pPr>
        <w:pStyle w:val="71"/>
        <w:snapToGrid w:val="0"/>
        <w:spacing w:before="180" w:beforeLines="50" w:after="0" w:line="240" w:lineRule="auto"/>
        <w:ind w:firstLine="0"/>
        <w:rPr>
          <w:sz w:val="20"/>
        </w:rPr>
      </w:pPr>
      <w:r>
        <w:rPr>
          <w:rFonts w:hint="eastAsia"/>
          <w:sz w:val="20"/>
        </w:rPr>
        <w:t xml:space="preserve">The beam group specific parameters </w:t>
      </w:r>
      <w:r>
        <w:rPr>
          <w:sz w:val="20"/>
        </w:rPr>
        <w:t>are</w:t>
      </w:r>
      <w:r>
        <w:rPr>
          <w:rFonts w:hint="eastAsia"/>
          <w:sz w:val="20"/>
        </w:rPr>
        <w:t xml:space="preserve"> discussed in details below.</w:t>
      </w:r>
    </w:p>
    <w:p>
      <w:pPr>
        <w:pStyle w:val="4"/>
        <w:snapToGrid w:val="0"/>
        <w:spacing w:before="180" w:beforeLines="50" w:after="0" w:line="240" w:lineRule="auto"/>
        <w:rPr>
          <w:rFonts w:ascii="Arial Unicode MS" w:hAnsi="Arial Unicode MS" w:eastAsia="Arial Unicode MS" w:cs="Arial Unicode MS"/>
          <w:sz w:val="22"/>
          <w:szCs w:val="22"/>
          <w:lang w:val="sv-SE"/>
        </w:rPr>
      </w:pPr>
      <w:r>
        <w:rPr>
          <w:rFonts w:hint="eastAsia" w:ascii="Arial Unicode MS" w:hAnsi="Arial Unicode MS" w:eastAsia="Arial Unicode MS" w:cs="Arial Unicode MS"/>
          <w:sz w:val="22"/>
          <w:szCs w:val="22"/>
        </w:rPr>
        <w:t>On p</w:t>
      </w:r>
      <w:r>
        <w:rPr>
          <w:rFonts w:hint="eastAsia" w:ascii="Arial Unicode MS" w:hAnsi="Arial Unicode MS" w:eastAsia="Arial Unicode MS" w:cs="Arial Unicode MS"/>
          <w:sz w:val="22"/>
          <w:szCs w:val="22"/>
          <w:lang w:val="sv-SE"/>
        </w:rPr>
        <w:t>athloss calculation</w:t>
      </w:r>
    </w:p>
    <w:p>
      <w:pPr>
        <w:pStyle w:val="71"/>
        <w:snapToGrid w:val="0"/>
        <w:spacing w:before="180" w:beforeLines="50" w:after="0" w:line="240" w:lineRule="auto"/>
        <w:ind w:firstLine="0"/>
        <w:rPr>
          <w:sz w:val="20"/>
        </w:rPr>
      </w:pPr>
      <w:r>
        <w:rPr>
          <w:sz w:val="20"/>
        </w:rPr>
        <w:t>It</w:t>
      </w:r>
      <w:r>
        <w:rPr>
          <w:rFonts w:hint="eastAsia"/>
          <w:sz w:val="20"/>
        </w:rPr>
        <w:t xml:space="preserve"> ha</w:t>
      </w:r>
      <w:r>
        <w:rPr>
          <w:sz w:val="20"/>
        </w:rPr>
        <w:t>s</w:t>
      </w:r>
      <w:r>
        <w:rPr>
          <w:rFonts w:hint="eastAsia"/>
          <w:sz w:val="20"/>
        </w:rPr>
        <w:t xml:space="preserve"> been agreed to </w:t>
      </w:r>
      <w:r>
        <w:rPr>
          <w:sz w:val="20"/>
        </w:rPr>
        <w:t>use CSI-RS and SS</w:t>
      </w:r>
      <w:r>
        <w:rPr>
          <w:rFonts w:hint="eastAsia"/>
          <w:sz w:val="20"/>
        </w:rPr>
        <w:t xml:space="preserve"> for pathloss calculation. DMRS of PBCH is also considered as a candidate. Before successful random access procedure, UE could not get any UE specific configuration,</w:t>
      </w:r>
      <w:r>
        <w:rPr>
          <w:sz w:val="20"/>
        </w:rPr>
        <w:t xml:space="preserve"> </w:t>
      </w:r>
      <w:r>
        <w:rPr>
          <w:rFonts w:hint="eastAsia"/>
          <w:sz w:val="20"/>
        </w:rPr>
        <w:t>and UE could use SSS, and DMRS of PBCH to evaluate pathloss. When UE accesses network and gets UE specific CSI-RS used for pathloss calculation, UE has more choices for the type of DL RS</w:t>
      </w:r>
      <w:r>
        <w:rPr>
          <w:sz w:val="20"/>
        </w:rPr>
        <w:t xml:space="preserve">. The </w:t>
      </w:r>
      <w:r>
        <w:rPr>
          <w:rFonts w:hint="eastAsia"/>
          <w:sz w:val="20"/>
        </w:rPr>
        <w:t>gNB should indicate the type and the resources of DL RS for pathloss calculation when UE accesses network.</w:t>
      </w:r>
    </w:p>
    <w:p>
      <w:pPr>
        <w:pStyle w:val="71"/>
        <w:snapToGrid w:val="0"/>
        <w:spacing w:before="180" w:beforeLines="50" w:after="0" w:line="240" w:lineRule="auto"/>
        <w:ind w:firstLine="0"/>
        <w:rPr>
          <w:sz w:val="20"/>
        </w:rPr>
      </w:pPr>
      <w:r>
        <w:rPr>
          <w:rFonts w:hint="eastAsia"/>
          <w:sz w:val="20"/>
        </w:rPr>
        <w:t xml:space="preserve">With multi-beam scheme, </w:t>
      </w:r>
      <w:r>
        <w:rPr>
          <w:sz w:val="20"/>
        </w:rPr>
        <w:t xml:space="preserve">ideal </w:t>
      </w:r>
      <w:r>
        <w:rPr>
          <w:rFonts w:hint="eastAsia"/>
          <w:sz w:val="20"/>
        </w:rPr>
        <w:t xml:space="preserve">reciprocity between uplink and downlink is considered </w:t>
      </w:r>
      <w:r>
        <w:rPr>
          <w:sz w:val="20"/>
        </w:rPr>
        <w:t xml:space="preserve">to be </w:t>
      </w:r>
      <w:r>
        <w:rPr>
          <w:rFonts w:hint="eastAsia"/>
          <w:sz w:val="20"/>
        </w:rPr>
        <w:t xml:space="preserve">more difficult to exploit in NR because it requires stricter conditions compared with LTE. </w:t>
      </w:r>
      <w:r>
        <w:rPr>
          <w:sz w:val="20"/>
        </w:rPr>
        <w:t>I</w:t>
      </w:r>
      <w:r>
        <w:rPr>
          <w:rFonts w:hint="eastAsia"/>
          <w:sz w:val="20"/>
        </w:rPr>
        <w:t>n reality</w:t>
      </w:r>
      <w:r>
        <w:rPr>
          <w:sz w:val="20"/>
        </w:rPr>
        <w:t>,</w:t>
      </w:r>
      <w:r>
        <w:rPr>
          <w:rFonts w:hint="eastAsia"/>
          <w:sz w:val="20"/>
        </w:rPr>
        <w:t xml:space="preserve"> it is hard to judge the quality of reciprocity for pathloss precisely, so a </w:t>
      </w:r>
      <w:r>
        <w:rPr>
          <w:sz w:val="20"/>
        </w:rPr>
        <w:t>unified</w:t>
      </w:r>
      <w:r>
        <w:rPr>
          <w:rFonts w:hint="eastAsia"/>
          <w:sz w:val="20"/>
        </w:rPr>
        <w:t xml:space="preserve"> power control framework for all reciprocity cases is preferred. Similar to LTE, the pathloss should still be based on DL RS(s). while the </w:t>
      </w:r>
      <w:r>
        <w:rPr>
          <w:sz w:val="20"/>
        </w:rPr>
        <w:t>actual</w:t>
      </w:r>
      <w:r>
        <w:rPr>
          <w:rFonts w:hint="eastAsia"/>
          <w:sz w:val="20"/>
        </w:rPr>
        <w:t xml:space="preserve"> pathloss gap between DL and UL is compensated through closed loop power control scheme. </w:t>
      </w:r>
    </w:p>
    <w:p>
      <w:pPr>
        <w:pStyle w:val="71"/>
        <w:snapToGrid w:val="0"/>
        <w:spacing w:before="180" w:beforeLines="50" w:after="0" w:line="240" w:lineRule="auto"/>
        <w:ind w:firstLine="0"/>
        <w:rPr>
          <w:sz w:val="20"/>
        </w:rPr>
      </w:pPr>
      <w:r>
        <w:rPr>
          <w:rFonts w:hint="eastAsia"/>
          <w:sz w:val="20"/>
        </w:rPr>
        <w:t xml:space="preserve">gNB could recommend a wider beam DL RS or a set of DL RS(s) </w:t>
      </w:r>
      <w:r>
        <w:rPr>
          <w:sz w:val="20"/>
        </w:rPr>
        <w:t>representing a range of transmission</w:t>
      </w:r>
      <w:r>
        <w:rPr>
          <w:rFonts w:hint="eastAsia"/>
          <w:sz w:val="20"/>
        </w:rPr>
        <w:t xml:space="preserve"> beams for UE to calculate pathloss for poor reciprocity or no reciprocity cases. In that case the pathloss is expected to be less beam-specific and more stable, while in some extent could reflect the quality of large scale wireless environment. If there are more than one DL PL estimated used for PL calculation, UE is supposed to apply some sort of combination algorithm to get a proper PL result for UL transmission. The combination algorithm should be standardized in the spec, or configured by gNB, or left to UE implementation.</w:t>
      </w:r>
    </w:p>
    <w:p>
      <w:pPr>
        <w:pStyle w:val="77"/>
        <w:snapToGrid w:val="0"/>
        <w:spacing w:before="180" w:beforeLines="50" w:after="0"/>
        <w:ind w:left="0" w:firstLine="0"/>
        <w:jc w:val="both"/>
        <w:rPr>
          <w:rFonts w:eastAsiaTheme="minorEastAsia"/>
          <w:i/>
          <w:lang w:val="en-US" w:eastAsia="zh-CN"/>
        </w:rPr>
      </w:pPr>
      <w:r>
        <w:rPr>
          <w:rFonts w:hint="eastAsia"/>
          <w:b/>
          <w:i/>
        </w:rPr>
        <w:t>Proposal</w:t>
      </w:r>
      <w:r>
        <w:rPr>
          <w:rFonts w:hint="eastAsia" w:eastAsia="宋体"/>
          <w:b/>
          <w:i/>
          <w:lang w:val="en-US" w:eastAsia="zh-CN"/>
        </w:rPr>
        <w:t xml:space="preserve"> 1</w:t>
      </w:r>
      <w:r>
        <w:rPr>
          <w:rFonts w:hint="eastAsia" w:eastAsiaTheme="minorEastAsia"/>
          <w:b/>
          <w:i/>
          <w:lang w:eastAsia="zh-CN"/>
        </w:rPr>
        <w:t>:</w:t>
      </w:r>
      <w:r>
        <w:rPr>
          <w:rFonts w:eastAsia="宋体"/>
          <w:i/>
          <w:lang w:val="en-US" w:eastAsia="zh-CN"/>
        </w:rPr>
        <w:t xml:space="preserve"> At least for PUSCH transmission, UE can have multiple configurations of DL RS for PL measurement, e.g., {SSB, CSI-RS}, {SSB,SSB}, {CSI-RS, CSI-RS}, etc</w:t>
      </w:r>
    </w:p>
    <w:p>
      <w:pPr>
        <w:pStyle w:val="77"/>
        <w:numPr>
          <w:ilvl w:val="1"/>
          <w:numId w:val="5"/>
        </w:numPr>
        <w:snapToGrid w:val="0"/>
        <w:spacing w:before="180" w:beforeLines="50" w:after="0"/>
        <w:jc w:val="both"/>
        <w:rPr>
          <w:rFonts w:eastAsia="宋体"/>
          <w:i/>
          <w:lang w:val="en-US" w:eastAsia="zh-CN"/>
        </w:rPr>
      </w:pPr>
      <w:r>
        <w:rPr>
          <w:rFonts w:hint="eastAsia" w:eastAsia="宋体"/>
          <w:i/>
          <w:lang w:val="en-US" w:eastAsia="zh-CN"/>
        </w:rPr>
        <w:t xml:space="preserve">The configuration of </w:t>
      </w:r>
      <w:r>
        <w:rPr>
          <w:rFonts w:eastAsia="宋体"/>
          <w:i/>
          <w:lang w:val="en-US" w:eastAsia="zh-CN"/>
        </w:rPr>
        <w:t xml:space="preserve">CSI-RS resource for PL measurement </w:t>
      </w:r>
      <w:r>
        <w:rPr>
          <w:rFonts w:hint="eastAsia" w:eastAsia="宋体"/>
          <w:i/>
          <w:lang w:val="en-US" w:eastAsia="zh-CN"/>
        </w:rPr>
        <w:t>can be</w:t>
      </w:r>
      <w:r>
        <w:rPr>
          <w:rFonts w:eastAsia="宋体"/>
          <w:i/>
          <w:lang w:val="en-US" w:eastAsia="zh-CN"/>
        </w:rPr>
        <w:t> independent</w:t>
      </w:r>
      <w:r>
        <w:rPr>
          <w:rFonts w:hint="eastAsia" w:eastAsia="宋体"/>
          <w:i/>
          <w:lang w:val="en-US" w:eastAsia="zh-CN"/>
        </w:rPr>
        <w:t xml:space="preserve"> from that of CSI-RS </w:t>
      </w:r>
      <w:r>
        <w:rPr>
          <w:rFonts w:eastAsia="宋体"/>
          <w:i/>
          <w:lang w:val="en-US" w:eastAsia="zh-CN"/>
        </w:rPr>
        <w:t xml:space="preserve">resource </w:t>
      </w:r>
      <w:r>
        <w:rPr>
          <w:rFonts w:hint="eastAsia" w:eastAsia="宋体"/>
          <w:i/>
          <w:lang w:val="en-US" w:eastAsia="zh-CN"/>
        </w:rPr>
        <w:t>for other usage</w:t>
      </w:r>
    </w:p>
    <w:p>
      <w:pPr>
        <w:pStyle w:val="77"/>
        <w:numPr>
          <w:ilvl w:val="1"/>
          <w:numId w:val="5"/>
        </w:numPr>
        <w:snapToGrid w:val="0"/>
        <w:spacing w:before="180" w:beforeLines="50" w:after="0"/>
        <w:jc w:val="both"/>
        <w:rPr>
          <w:rFonts w:eastAsia="宋体"/>
          <w:i/>
          <w:lang w:val="en-US" w:eastAsia="zh-CN"/>
        </w:rPr>
      </w:pPr>
      <w:r>
        <w:rPr>
          <w:rFonts w:hint="eastAsia" w:eastAsia="宋体"/>
          <w:i/>
          <w:lang w:val="en-US" w:eastAsia="zh-CN"/>
        </w:rPr>
        <w:t>Each configuration of DL RS for PL measurement corresponding to a UL TX beam group</w:t>
      </w:r>
    </w:p>
    <w:p>
      <w:pPr>
        <w:pStyle w:val="3"/>
        <w:widowControl w:val="0"/>
        <w:tabs>
          <w:tab w:val="left" w:pos="3686"/>
          <w:tab w:val="left" w:pos="4536"/>
        </w:tabs>
        <w:snapToGrid w:val="0"/>
        <w:spacing w:before="180" w:beforeLines="50" w:beforeAutospacing="0" w:after="0" w:afterAutospacing="0" w:line="240" w:lineRule="auto"/>
        <w:jc w:val="both"/>
        <w:rPr>
          <w:rFonts w:ascii="Arial Unicode MS" w:hAnsi="Arial Unicode MS" w:eastAsia="Arial Unicode MS" w:cs="Arial Unicode MS"/>
          <w:lang w:val="sv-SE"/>
        </w:rPr>
      </w:pPr>
      <w:r>
        <w:rPr>
          <w:rFonts w:hint="eastAsia" w:ascii="Arial Unicode MS" w:hAnsi="Arial Unicode MS" w:eastAsia="Arial Unicode MS" w:cs="Arial Unicode MS"/>
          <w:lang w:val="sv-SE"/>
        </w:rPr>
        <w:t>Power Control framework</w:t>
      </w:r>
    </w:p>
    <w:p>
      <w:pPr>
        <w:pStyle w:val="71"/>
        <w:snapToGrid w:val="0"/>
        <w:spacing w:before="180" w:beforeLines="50" w:after="0" w:line="240" w:lineRule="auto"/>
        <w:ind w:firstLine="0"/>
        <w:rPr>
          <w:sz w:val="20"/>
        </w:rPr>
      </w:pPr>
      <w:r>
        <w:rPr>
          <w:rFonts w:hint="eastAsia"/>
          <w:sz w:val="20"/>
        </w:rPr>
        <w:t xml:space="preserve">In </w:t>
      </w:r>
      <w:r>
        <w:rPr>
          <w:sz w:val="20"/>
        </w:rPr>
        <w:t>RAN1#90</w:t>
      </w:r>
      <w:r>
        <w:rPr>
          <w:rFonts w:hint="eastAsia"/>
          <w:sz w:val="20"/>
        </w:rPr>
        <w:t xml:space="preserve"> meeting</w:t>
      </w:r>
      <w:r>
        <w:rPr>
          <w:sz w:val="20"/>
        </w:rPr>
        <w:t>,</w:t>
      </w:r>
      <w:r>
        <w:rPr>
          <w:rFonts w:hint="eastAsia"/>
          <w:sz w:val="20"/>
        </w:rPr>
        <w:t xml:space="preserve"> power control framework was discussed and the agreements were reached </w:t>
      </w:r>
      <w:r>
        <w:rPr>
          <w:sz w:val="20"/>
        </w:rPr>
        <w:t>on</w:t>
      </w:r>
      <w:r>
        <w:rPr>
          <w:rFonts w:hint="eastAsia"/>
          <w:i/>
          <w:iCs/>
          <w:sz w:val="20"/>
        </w:rPr>
        <w:t xml:space="preserve"> </w:t>
      </w:r>
      <w:r>
        <w:rPr>
          <w:rFonts w:hint="eastAsia"/>
          <w:sz w:val="20"/>
        </w:rPr>
        <w:t>gNB configur</w:t>
      </w:r>
      <w:r>
        <w:rPr>
          <w:sz w:val="20"/>
        </w:rPr>
        <w:t>ation</w:t>
      </w:r>
      <w:r>
        <w:rPr>
          <w:rFonts w:hint="eastAsia"/>
          <w:sz w:val="20"/>
        </w:rPr>
        <w:t xml:space="preserve"> </w:t>
      </w:r>
      <w:r>
        <w:rPr>
          <w:sz w:val="20"/>
        </w:rPr>
        <w:t xml:space="preserve">of </w:t>
      </w:r>
      <w:r>
        <w:rPr>
          <w:rFonts w:hint="eastAsia"/>
          <w:sz w:val="20"/>
        </w:rPr>
        <w:t xml:space="preserve">one or multiple P0 (and alpha) values for open-loop power control parameters for PUSCH for a UE. Note that P0 and alpha may be configured to different beam set or other kinds of combinations. It is a good starting point of the power control framework, however, </w:t>
      </w:r>
      <w:r>
        <w:rPr>
          <w:sz w:val="20"/>
        </w:rPr>
        <w:t xml:space="preserve">further </w:t>
      </w:r>
      <w:r>
        <w:rPr>
          <w:rFonts w:hint="eastAsia"/>
          <w:sz w:val="20"/>
        </w:rPr>
        <w:t>work needs to be done to get a clear framework.</w:t>
      </w:r>
    </w:p>
    <w:p>
      <w:pPr>
        <w:pStyle w:val="71"/>
        <w:snapToGrid w:val="0"/>
        <w:spacing w:before="180" w:beforeLines="50" w:after="0" w:line="240" w:lineRule="auto"/>
        <w:ind w:firstLine="0"/>
        <w:rPr>
          <w:sz w:val="20"/>
        </w:rPr>
      </w:pPr>
      <w:r>
        <w:rPr>
          <w:rFonts w:hint="eastAsia"/>
          <w:sz w:val="20"/>
        </w:rPr>
        <w:t xml:space="preserve">In our opinion, beam specific PC framework should be flexible </w:t>
      </w:r>
      <w:r>
        <w:rPr>
          <w:sz w:val="20"/>
        </w:rPr>
        <w:t xml:space="preserve">enough </w:t>
      </w:r>
      <w:r>
        <w:rPr>
          <w:rFonts w:hint="eastAsia"/>
          <w:sz w:val="20"/>
        </w:rPr>
        <w:t>and the following requirements should be considered.</w:t>
      </w:r>
    </w:p>
    <w:p>
      <w:pPr>
        <w:pStyle w:val="71"/>
        <w:numPr>
          <w:ilvl w:val="0"/>
          <w:numId w:val="6"/>
        </w:numPr>
        <w:snapToGrid w:val="0"/>
        <w:spacing w:before="180" w:beforeLines="50" w:after="0" w:line="240" w:lineRule="auto"/>
        <w:rPr>
          <w:sz w:val="20"/>
        </w:rPr>
      </w:pPr>
      <w:r>
        <w:rPr>
          <w:rFonts w:hint="eastAsia"/>
          <w:sz w:val="20"/>
        </w:rPr>
        <w:t>Support beam specific parameter,</w:t>
      </w:r>
      <w:r>
        <w:rPr>
          <w:sz w:val="20"/>
        </w:rPr>
        <w:t xml:space="preserve"> </w:t>
      </w:r>
      <w:r>
        <w:rPr>
          <w:rFonts w:hint="eastAsia"/>
          <w:sz w:val="20"/>
        </w:rPr>
        <w:t xml:space="preserve">beam common parameter and </w:t>
      </w:r>
      <w:r>
        <w:rPr>
          <w:sz w:val="20"/>
        </w:rPr>
        <w:t>beam group</w:t>
      </w:r>
      <w:r>
        <w:rPr>
          <w:rFonts w:hint="eastAsia"/>
          <w:sz w:val="20"/>
        </w:rPr>
        <w:t xml:space="preserve"> specific parameter configuration</w:t>
      </w:r>
    </w:p>
    <w:p>
      <w:pPr>
        <w:pStyle w:val="71"/>
        <w:numPr>
          <w:ilvl w:val="0"/>
          <w:numId w:val="6"/>
        </w:numPr>
        <w:snapToGrid w:val="0"/>
        <w:spacing w:before="180" w:beforeLines="50" w:after="0" w:line="240" w:lineRule="auto"/>
        <w:rPr>
          <w:sz w:val="20"/>
        </w:rPr>
      </w:pPr>
      <w:r>
        <w:rPr>
          <w:rFonts w:hint="eastAsia"/>
          <w:sz w:val="20"/>
        </w:rPr>
        <w:t>Support TX/RX beam change, both slowly and fast</w:t>
      </w:r>
    </w:p>
    <w:p>
      <w:pPr>
        <w:pStyle w:val="71"/>
        <w:numPr>
          <w:ilvl w:val="0"/>
          <w:numId w:val="6"/>
        </w:numPr>
        <w:snapToGrid w:val="0"/>
        <w:spacing w:before="180" w:beforeLines="50" w:after="0" w:line="240" w:lineRule="auto"/>
        <w:rPr>
          <w:sz w:val="20"/>
        </w:rPr>
      </w:pPr>
      <w:r>
        <w:rPr>
          <w:rFonts w:hint="eastAsia"/>
          <w:sz w:val="20"/>
        </w:rPr>
        <w:t xml:space="preserve">Support closed loop PC parameters(e.g. f(i))can be inherited or reset after beam </w:t>
      </w:r>
      <w:r>
        <w:rPr>
          <w:sz w:val="20"/>
        </w:rPr>
        <w:t xml:space="preserve">group </w:t>
      </w:r>
      <w:r>
        <w:rPr>
          <w:rFonts w:hint="eastAsia"/>
          <w:sz w:val="20"/>
        </w:rPr>
        <w:t>change</w:t>
      </w:r>
    </w:p>
    <w:p>
      <w:pPr>
        <w:pStyle w:val="71"/>
        <w:numPr>
          <w:ilvl w:val="0"/>
          <w:numId w:val="6"/>
        </w:numPr>
        <w:snapToGrid w:val="0"/>
        <w:spacing w:before="180" w:beforeLines="50" w:after="0" w:line="240" w:lineRule="auto"/>
        <w:rPr>
          <w:sz w:val="20"/>
        </w:rPr>
      </w:pPr>
      <w:r>
        <w:rPr>
          <w:rFonts w:hint="eastAsia"/>
          <w:sz w:val="20"/>
        </w:rPr>
        <w:t>Support multiple beam transmission with multiple independent power control loops</w:t>
      </w:r>
    </w:p>
    <w:p>
      <w:pPr>
        <w:pStyle w:val="71"/>
        <w:numPr>
          <w:ilvl w:val="0"/>
          <w:numId w:val="6"/>
        </w:numPr>
        <w:snapToGrid w:val="0"/>
        <w:spacing w:before="180" w:beforeLines="50" w:after="0" w:line="240" w:lineRule="auto"/>
        <w:rPr>
          <w:sz w:val="20"/>
        </w:rPr>
      </w:pPr>
      <w:r>
        <w:rPr>
          <w:rFonts w:hint="eastAsia"/>
          <w:sz w:val="20"/>
        </w:rPr>
        <w:t>Support transparent RX beam indication</w:t>
      </w:r>
    </w:p>
    <w:p>
      <w:pPr>
        <w:pStyle w:val="71"/>
        <w:numPr>
          <w:ilvl w:val="0"/>
          <w:numId w:val="6"/>
        </w:numPr>
        <w:snapToGrid w:val="0"/>
        <w:spacing w:before="180" w:beforeLines="50" w:after="0" w:line="240" w:lineRule="auto"/>
        <w:rPr>
          <w:sz w:val="20"/>
        </w:rPr>
      </w:pPr>
      <w:r>
        <w:rPr>
          <w:rFonts w:hint="eastAsia"/>
          <w:sz w:val="20"/>
        </w:rPr>
        <w:t>Support unif</w:t>
      </w:r>
      <w:r>
        <w:rPr>
          <w:rFonts w:hint="eastAsia"/>
          <w:sz w:val="20"/>
          <w:lang w:val="en-US" w:eastAsia="zh-CN"/>
        </w:rPr>
        <w:t>ied</w:t>
      </w:r>
      <w:r>
        <w:rPr>
          <w:rFonts w:hint="eastAsia"/>
          <w:sz w:val="20"/>
        </w:rPr>
        <w:t xml:space="preserve"> structure for both cases with and without PL reciprocity</w:t>
      </w:r>
    </w:p>
    <w:p>
      <w:pPr>
        <w:pStyle w:val="71"/>
        <w:snapToGrid w:val="0"/>
        <w:spacing w:before="180" w:beforeLines="50" w:after="0" w:line="240" w:lineRule="auto"/>
        <w:ind w:firstLine="0"/>
        <w:rPr>
          <w:sz w:val="20"/>
        </w:rPr>
      </w:pPr>
      <w:r>
        <w:rPr>
          <w:rFonts w:hint="eastAsia"/>
          <w:sz w:val="20"/>
        </w:rPr>
        <w:t>From power control perspective, gNB needs to configure each power control loop a set of parameters which is depicted as ULTxPara (UL Transmission Parameters) set includes at least the following information:</w:t>
      </w:r>
    </w:p>
    <w:p>
      <w:pPr>
        <w:pStyle w:val="71"/>
        <w:numPr>
          <w:ilvl w:val="0"/>
          <w:numId w:val="7"/>
        </w:numPr>
        <w:snapToGrid w:val="0"/>
        <w:spacing w:before="180" w:beforeLines="50" w:after="0" w:line="240" w:lineRule="auto"/>
        <w:rPr>
          <w:sz w:val="20"/>
        </w:rPr>
      </w:pPr>
      <w:r>
        <w:rPr>
          <w:rFonts w:hint="eastAsia"/>
          <w:sz w:val="20"/>
        </w:rPr>
        <w:t>TX beam (group) indication, indicating the transmit resources</w:t>
      </w:r>
    </w:p>
    <w:p>
      <w:pPr>
        <w:pStyle w:val="71"/>
        <w:numPr>
          <w:ilvl w:val="0"/>
          <w:numId w:val="7"/>
        </w:numPr>
        <w:snapToGrid w:val="0"/>
        <w:spacing w:before="180" w:beforeLines="50" w:after="0" w:line="240" w:lineRule="auto"/>
        <w:rPr>
          <w:sz w:val="20"/>
        </w:rPr>
      </w:pPr>
      <w:r>
        <w:rPr>
          <w:rFonts w:hint="eastAsia"/>
          <w:sz w:val="20"/>
        </w:rPr>
        <w:t>UE specific part of P0</w:t>
      </w:r>
    </w:p>
    <w:p>
      <w:pPr>
        <w:pStyle w:val="71"/>
        <w:numPr>
          <w:ilvl w:val="0"/>
          <w:numId w:val="7"/>
        </w:numPr>
        <w:snapToGrid w:val="0"/>
        <w:spacing w:before="180" w:beforeLines="50" w:after="0" w:line="240" w:lineRule="auto"/>
        <w:rPr>
          <w:sz w:val="20"/>
        </w:rPr>
      </w:pPr>
      <w:r>
        <w:rPr>
          <w:rFonts w:hint="eastAsia"/>
          <w:sz w:val="20"/>
        </w:rPr>
        <w:t xml:space="preserve">PL configuration, including DL RS resource indication(s) which are used for pathloss measurement. </w:t>
      </w:r>
    </w:p>
    <w:p>
      <w:pPr>
        <w:pStyle w:val="71"/>
        <w:numPr>
          <w:ilvl w:val="0"/>
          <w:numId w:val="7"/>
        </w:numPr>
        <w:snapToGrid w:val="0"/>
        <w:spacing w:before="180" w:beforeLines="50" w:after="0" w:line="240" w:lineRule="auto"/>
        <w:rPr>
          <w:sz w:val="20"/>
        </w:rPr>
      </w:pPr>
      <w:r>
        <w:rPr>
          <w:rFonts w:hint="eastAsia"/>
          <w:sz w:val="20"/>
          <w:lang w:val="en-US" w:eastAsia="zh-CN"/>
        </w:rPr>
        <w:t>Alpha, which is pathloss factor</w:t>
      </w:r>
    </w:p>
    <w:p>
      <w:pPr>
        <w:pStyle w:val="71"/>
        <w:snapToGrid w:val="0"/>
        <w:spacing w:before="180" w:beforeLines="50" w:after="0" w:line="240" w:lineRule="auto"/>
        <w:ind w:firstLine="0"/>
        <w:rPr>
          <w:sz w:val="20"/>
        </w:rPr>
      </w:pPr>
      <w:r>
        <w:rPr>
          <w:rFonts w:hint="eastAsia"/>
          <w:sz w:val="20"/>
        </w:rPr>
        <w:t>Besides</w:t>
      </w:r>
      <w:r>
        <w:rPr>
          <w:rFonts w:hint="eastAsia"/>
          <w:sz w:val="20"/>
          <w:lang w:val="en-US" w:eastAsia="zh-CN"/>
        </w:rPr>
        <w:t xml:space="preserve"> above </w:t>
      </w:r>
      <w:r>
        <w:rPr>
          <w:rFonts w:hint="eastAsia"/>
          <w:sz w:val="20"/>
        </w:rPr>
        <w:t xml:space="preserve">parameters, a </w:t>
      </w:r>
      <w:r>
        <w:rPr>
          <w:sz w:val="20"/>
        </w:rPr>
        <w:t>ULTxPa</w:t>
      </w:r>
      <w:r>
        <w:rPr>
          <w:rFonts w:hint="eastAsia"/>
          <w:sz w:val="20"/>
        </w:rPr>
        <w:t xml:space="preserve">ra set ID may be necessary, since there are likely more than one </w:t>
      </w:r>
      <w:r>
        <w:rPr>
          <w:sz w:val="20"/>
        </w:rPr>
        <w:t>ULTxPa</w:t>
      </w:r>
      <w:r>
        <w:rPr>
          <w:rFonts w:hint="eastAsia"/>
          <w:sz w:val="20"/>
        </w:rPr>
        <w:t>ra set, and the ULTxPara set ID could be used to identify a PC loop parameter configuration.</w:t>
      </w:r>
    </w:p>
    <w:p>
      <w:pPr>
        <w:pStyle w:val="71"/>
        <w:snapToGrid w:val="0"/>
        <w:spacing w:before="180" w:beforeLines="50" w:after="0" w:line="240" w:lineRule="auto"/>
        <w:ind w:firstLine="0"/>
        <w:rPr>
          <w:rFonts w:hint="eastAsia"/>
          <w:sz w:val="20"/>
          <w:lang w:val="en-US" w:eastAsia="zh-CN"/>
        </w:rPr>
      </w:pPr>
      <w:r>
        <w:rPr>
          <w:rFonts w:hint="eastAsia"/>
          <w:sz w:val="20"/>
          <w:lang w:val="en-US" w:eastAsia="zh-CN"/>
        </w:rPr>
        <w:t xml:space="preserve">Among these parameters, UE specific part of P0, PL configuration and alpha are implicitly related to an RX beam (group), but explicitly related to a TX beam (group). So joint configuration of these parameters should be recommended. </w:t>
      </w:r>
    </w:p>
    <w:p>
      <w:pPr>
        <w:pStyle w:val="71"/>
        <w:snapToGrid w:val="0"/>
        <w:spacing w:before="180" w:beforeLines="50" w:after="0" w:line="240" w:lineRule="auto"/>
        <w:ind w:firstLine="0"/>
        <w:rPr>
          <w:rFonts w:hint="eastAsia"/>
          <w:sz w:val="20"/>
          <w:lang w:val="en-US" w:eastAsia="zh-CN"/>
        </w:rPr>
      </w:pPr>
      <w:r>
        <w:rPr>
          <w:rFonts w:hint="eastAsia"/>
          <w:sz w:val="20"/>
          <w:lang w:val="en-US" w:eastAsia="zh-CN"/>
        </w:rPr>
        <w:t xml:space="preserve">In addition, Different type of channel and signal such as SRS, PUSCH, long/short PUCCH, may have different UE specific part of P0 even for the same beam pair link, while other parameters tend to be beam related for all channel and signal. So each ULTxPara set could contain multiple UE specific part of P0 for multiple channels and signals. </w:t>
      </w:r>
    </w:p>
    <w:p>
      <w:pPr>
        <w:pStyle w:val="71"/>
        <w:snapToGrid w:val="0"/>
        <w:spacing w:before="180" w:beforeLines="50" w:after="0" w:line="240" w:lineRule="auto"/>
        <w:ind w:firstLine="0"/>
        <w:rPr>
          <w:rFonts w:hint="eastAsia"/>
          <w:sz w:val="20"/>
          <w:lang w:val="en-US" w:eastAsia="zh-CN"/>
        </w:rPr>
      </w:pPr>
      <w:r>
        <w:rPr>
          <w:rFonts w:hint="eastAsia"/>
          <w:sz w:val="20"/>
          <w:lang w:val="en-US" w:eastAsia="zh-CN"/>
        </w:rPr>
        <w:t>Alpha is considered to be configured for a group of UL RX beam, e.g. per TRP which is not exactly the same as the RX beam group of UE specific part of P0 and PL configuration. So it could be configured as a parameter in ULTxPara set or as a common parameter for multiple ULTxPara sets.</w:t>
      </w:r>
    </w:p>
    <w:p>
      <w:pPr>
        <w:pStyle w:val="71"/>
        <w:snapToGrid w:val="0"/>
        <w:spacing w:before="180" w:beforeLines="50" w:after="0" w:line="240" w:lineRule="auto"/>
        <w:ind w:firstLine="0"/>
        <w:rPr>
          <w:rFonts w:hint="eastAsia"/>
          <w:szCs w:val="20"/>
          <w:vertAlign w:val="baseline"/>
          <w:lang w:val="en-US" w:eastAsia="zh-CN"/>
        </w:rPr>
      </w:pPr>
      <w:r>
        <w:rPr>
          <w:rFonts w:hint="eastAsia"/>
          <w:sz w:val="20"/>
          <w:lang w:val="en-US" w:eastAsia="zh-CN"/>
        </w:rPr>
        <w:t xml:space="preserve">A possible way to configure these parameters is proposed as follows. </w:t>
      </w:r>
      <w:r>
        <w:rPr>
          <w:rFonts w:hint="eastAsia"/>
          <w:szCs w:val="20"/>
          <w:lang w:val="en-US" w:eastAsia="zh-CN"/>
        </w:rPr>
        <w:t xml:space="preserve">gNB configures </w:t>
      </w:r>
      <w:r>
        <w:rPr>
          <w:rFonts w:eastAsia="宋体"/>
          <w:szCs w:val="20"/>
        </w:rPr>
        <w:t>UL Transmit Parameters</w:t>
      </w:r>
      <w:r>
        <w:rPr>
          <w:rFonts w:hint="eastAsia"/>
          <w:szCs w:val="20"/>
          <w:lang w:val="en-US" w:eastAsia="zh-CN"/>
        </w:rPr>
        <w:t xml:space="preserve"> sets to a UE for all possible channels and signals, e.g. </w:t>
      </w:r>
      <w:r>
        <w:rPr>
          <w:rFonts w:hint="eastAsia"/>
          <w:sz w:val="20"/>
          <w:lang w:val="en-US" w:eastAsia="zh-CN"/>
        </w:rPr>
        <w:t>for SRS for CSI acquisition and PUSCH, for each beam (group) within the candidate beam set. T</w:t>
      </w:r>
      <w:r>
        <w:rPr>
          <w:rFonts w:hint="eastAsia"/>
          <w:szCs w:val="20"/>
          <w:vertAlign w:val="baseline"/>
          <w:lang w:val="en-US" w:eastAsia="zh-CN"/>
        </w:rPr>
        <w:t>able 1 is an example a</w:t>
      </w:r>
      <w:r>
        <w:rPr>
          <w:rFonts w:hint="eastAsia"/>
          <w:szCs w:val="20"/>
          <w:lang w:val="en-US" w:eastAsia="zh-CN"/>
        </w:rPr>
        <w:t xml:space="preserve">ssuming a candidate beam set includes four beams which referred as </w:t>
      </w:r>
      <w:r>
        <w:rPr>
          <w:rFonts w:eastAsia="宋体"/>
          <w:szCs w:val="20"/>
        </w:rPr>
        <w:t>SRI</w:t>
      </w:r>
      <w:r>
        <w:rPr>
          <w:rFonts w:eastAsia="宋体"/>
          <w:szCs w:val="20"/>
          <w:vertAlign w:val="subscript"/>
        </w:rPr>
        <w:t>1</w:t>
      </w:r>
      <w:r>
        <w:rPr>
          <w:rFonts w:hint="eastAsia"/>
          <w:sz w:val="20"/>
          <w:lang w:val="en-US" w:eastAsia="zh-CN"/>
        </w:rPr>
        <w:t xml:space="preserve">, </w:t>
      </w:r>
      <w:r>
        <w:rPr>
          <w:rFonts w:eastAsia="宋体"/>
          <w:szCs w:val="20"/>
        </w:rPr>
        <w:t>SRI</w:t>
      </w:r>
      <w:r>
        <w:rPr>
          <w:rFonts w:eastAsia="宋体"/>
          <w:szCs w:val="20"/>
          <w:vertAlign w:val="subscript"/>
        </w:rPr>
        <w:t>2</w:t>
      </w:r>
      <w:r>
        <w:rPr>
          <w:rFonts w:hint="eastAsia"/>
          <w:sz w:val="20"/>
          <w:lang w:val="en-US" w:eastAsia="zh-CN"/>
        </w:rPr>
        <w:t xml:space="preserve">, </w:t>
      </w:r>
      <w:r>
        <w:rPr>
          <w:rFonts w:eastAsia="宋体"/>
          <w:szCs w:val="20"/>
        </w:rPr>
        <w:t>SRI</w:t>
      </w:r>
      <w:r>
        <w:rPr>
          <w:rFonts w:eastAsia="宋体"/>
          <w:szCs w:val="20"/>
          <w:vertAlign w:val="subscript"/>
        </w:rPr>
        <w:t>3</w:t>
      </w:r>
      <w:r>
        <w:rPr>
          <w:rFonts w:hint="eastAsia"/>
          <w:sz w:val="20"/>
          <w:lang w:val="en-US" w:eastAsia="zh-CN"/>
        </w:rPr>
        <w:t xml:space="preserve"> and </w:t>
      </w:r>
      <w:r>
        <w:rPr>
          <w:rFonts w:eastAsia="宋体"/>
          <w:szCs w:val="20"/>
        </w:rPr>
        <w:t>SRI</w:t>
      </w:r>
      <w:r>
        <w:rPr>
          <w:rFonts w:eastAsia="宋体"/>
          <w:szCs w:val="20"/>
          <w:vertAlign w:val="subscript"/>
        </w:rPr>
        <w:t>4</w:t>
      </w:r>
      <w:r>
        <w:rPr>
          <w:rFonts w:hint="eastAsia"/>
          <w:szCs w:val="20"/>
          <w:vertAlign w:val="baseline"/>
          <w:lang w:val="en-US" w:eastAsia="zh-CN"/>
        </w:rPr>
        <w:t xml:space="preserve">. </w:t>
      </w:r>
      <w:r>
        <w:rPr>
          <w:rFonts w:hint="eastAsia"/>
          <w:sz w:val="20"/>
          <w:lang w:val="en-US" w:eastAsia="zh-CN"/>
        </w:rPr>
        <w:t>T</w:t>
      </w:r>
      <w:r>
        <w:rPr>
          <w:rFonts w:hint="eastAsia"/>
          <w:szCs w:val="20"/>
          <w:vertAlign w:val="baseline"/>
          <w:lang w:val="en-US" w:eastAsia="zh-CN"/>
        </w:rPr>
        <w:t>able 2 is an example a</w:t>
      </w:r>
      <w:r>
        <w:rPr>
          <w:rFonts w:hint="eastAsia"/>
          <w:szCs w:val="20"/>
          <w:lang w:val="en-US" w:eastAsia="zh-CN"/>
        </w:rPr>
        <w:t xml:space="preserve">ssuming a candidate beam set includes two beam groups which referred as TX beam group1 with </w:t>
      </w:r>
      <w:r>
        <w:rPr>
          <w:rFonts w:eastAsia="宋体"/>
          <w:szCs w:val="20"/>
        </w:rPr>
        <w:t>SRI</w:t>
      </w:r>
      <w:r>
        <w:rPr>
          <w:rFonts w:eastAsia="宋体"/>
          <w:szCs w:val="20"/>
          <w:vertAlign w:val="subscript"/>
        </w:rPr>
        <w:t>1</w:t>
      </w:r>
      <w:r>
        <w:rPr>
          <w:rFonts w:hint="eastAsia"/>
          <w:sz w:val="20"/>
          <w:lang w:val="en-US" w:eastAsia="zh-CN"/>
        </w:rPr>
        <w:t xml:space="preserve"> and </w:t>
      </w:r>
      <w:r>
        <w:rPr>
          <w:rFonts w:eastAsia="宋体"/>
          <w:szCs w:val="20"/>
        </w:rPr>
        <w:t>SRI</w:t>
      </w:r>
      <w:r>
        <w:rPr>
          <w:rFonts w:eastAsia="宋体"/>
          <w:szCs w:val="20"/>
          <w:vertAlign w:val="subscript"/>
        </w:rPr>
        <w:t>2</w:t>
      </w:r>
      <w:r>
        <w:rPr>
          <w:rFonts w:hint="eastAsia"/>
          <w:sz w:val="20"/>
          <w:lang w:val="en-US" w:eastAsia="zh-CN"/>
        </w:rPr>
        <w:t xml:space="preserve">, and TX beam group 2 with </w:t>
      </w:r>
      <w:r>
        <w:rPr>
          <w:rFonts w:eastAsia="宋体"/>
          <w:szCs w:val="20"/>
        </w:rPr>
        <w:t>SRI</w:t>
      </w:r>
      <w:r>
        <w:rPr>
          <w:rFonts w:eastAsia="宋体"/>
          <w:szCs w:val="20"/>
          <w:vertAlign w:val="subscript"/>
        </w:rPr>
        <w:t>3</w:t>
      </w:r>
      <w:r>
        <w:rPr>
          <w:rFonts w:hint="eastAsia"/>
          <w:sz w:val="20"/>
          <w:lang w:val="en-US" w:eastAsia="zh-CN"/>
        </w:rPr>
        <w:t xml:space="preserve"> and </w:t>
      </w:r>
      <w:r>
        <w:rPr>
          <w:rFonts w:eastAsia="宋体"/>
          <w:szCs w:val="20"/>
        </w:rPr>
        <w:t>SRI</w:t>
      </w:r>
      <w:r>
        <w:rPr>
          <w:rFonts w:eastAsia="宋体"/>
          <w:szCs w:val="20"/>
          <w:vertAlign w:val="subscript"/>
        </w:rPr>
        <w:t>4</w:t>
      </w:r>
      <w:r>
        <w:rPr>
          <w:rFonts w:hint="eastAsia"/>
          <w:szCs w:val="20"/>
          <w:vertAlign w:val="baseline"/>
          <w:lang w:val="en-US" w:eastAsia="zh-CN"/>
        </w:rPr>
        <w:t>.</w:t>
      </w:r>
    </w:p>
    <w:p>
      <w:pPr>
        <w:pStyle w:val="71"/>
        <w:snapToGrid w:val="0"/>
        <w:spacing w:before="180" w:beforeLines="50" w:after="0" w:line="240" w:lineRule="auto"/>
        <w:ind w:firstLine="0"/>
        <w:rPr>
          <w:rFonts w:hint="eastAsia"/>
          <w:szCs w:val="20"/>
          <w:vertAlign w:val="baseline"/>
          <w:lang w:val="en-US" w:eastAsia="zh-CN"/>
        </w:rPr>
      </w:pPr>
      <w:r>
        <w:rPr>
          <w:rFonts w:hint="eastAsia"/>
          <w:szCs w:val="20"/>
          <w:vertAlign w:val="baseline"/>
          <w:lang w:val="en-US" w:eastAsia="zh-CN"/>
        </w:rPr>
        <w:t xml:space="preserve">Table 1 - </w:t>
      </w:r>
      <w:r>
        <w:rPr>
          <w:rFonts w:eastAsia="宋体"/>
          <w:szCs w:val="20"/>
        </w:rPr>
        <w:t>UL Transmit Parameters</w:t>
      </w:r>
      <w:r>
        <w:rPr>
          <w:rFonts w:hint="eastAsia"/>
          <w:szCs w:val="20"/>
          <w:lang w:val="en-US" w:eastAsia="zh-CN"/>
        </w:rPr>
        <w:t xml:space="preserve"> sets for candidate beam set</w:t>
      </w:r>
    </w:p>
    <w:tbl>
      <w:tblPr>
        <w:tblStyle w:val="28"/>
        <w:tblW w:w="93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1790"/>
        <w:gridCol w:w="1575"/>
        <w:gridCol w:w="1467"/>
        <w:gridCol w:w="1913"/>
        <w:gridCol w:w="1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5" w:hRule="atLeast"/>
          <w:jc w:val="center"/>
        </w:trPr>
        <w:tc>
          <w:tcPr>
            <w:tcW w:w="1150" w:type="dxa"/>
            <w:shd w:val="clear" w:color="auto" w:fill="auto"/>
            <w:vAlign w:val="center"/>
          </w:tcPr>
          <w:p>
            <w:pPr>
              <w:jc w:val="left"/>
              <w:rPr>
                <w:rFonts w:eastAsia="宋体"/>
                <w:b/>
                <w:bCs/>
                <w:szCs w:val="20"/>
              </w:rPr>
            </w:pPr>
            <w:r>
              <w:rPr>
                <w:b/>
                <w:bCs/>
                <w:sz w:val="20"/>
              </w:rPr>
              <w:t>ULTxPa</w:t>
            </w:r>
            <w:r>
              <w:rPr>
                <w:rFonts w:hint="eastAsia"/>
                <w:b/>
                <w:bCs/>
                <w:sz w:val="20"/>
              </w:rPr>
              <w:t>ra set ID</w:t>
            </w:r>
          </w:p>
        </w:tc>
        <w:tc>
          <w:tcPr>
            <w:tcW w:w="1790" w:type="dxa"/>
            <w:shd w:val="clear" w:color="auto" w:fill="auto"/>
            <w:vAlign w:val="center"/>
          </w:tcPr>
          <w:p>
            <w:pPr>
              <w:jc w:val="left"/>
              <w:rPr>
                <w:rFonts w:eastAsia="宋体"/>
                <w:b/>
                <w:bCs/>
                <w:szCs w:val="20"/>
              </w:rPr>
            </w:pPr>
            <w:r>
              <w:rPr>
                <w:rFonts w:eastAsia="宋体"/>
                <w:b/>
                <w:bCs/>
                <w:szCs w:val="20"/>
              </w:rPr>
              <w:t>TX Beam</w:t>
            </w:r>
          </w:p>
        </w:tc>
        <w:tc>
          <w:tcPr>
            <w:tcW w:w="1575" w:type="dxa"/>
            <w:vAlign w:val="center"/>
          </w:tcPr>
          <w:p>
            <w:pPr>
              <w:jc w:val="left"/>
              <w:rPr>
                <w:rFonts w:hint="eastAsia" w:eastAsia="宋体"/>
                <w:b/>
                <w:bCs/>
                <w:i/>
                <w:iCs/>
                <w:szCs w:val="20"/>
                <w:lang w:val="en-US" w:eastAsia="zh-CN"/>
              </w:rPr>
            </w:pPr>
            <w:r>
              <w:rPr>
                <w:rFonts w:hint="eastAsia" w:eastAsia="宋体"/>
                <w:b/>
                <w:bCs/>
                <w:i w:val="0"/>
                <w:iCs w:val="0"/>
                <w:szCs w:val="20"/>
                <w:lang w:val="en-US" w:eastAsia="zh-CN"/>
              </w:rPr>
              <w:t>P0 UE specific part for SRS</w:t>
            </w:r>
          </w:p>
        </w:tc>
        <w:tc>
          <w:tcPr>
            <w:tcW w:w="1467" w:type="dxa"/>
            <w:vAlign w:val="center"/>
          </w:tcPr>
          <w:p>
            <w:pPr>
              <w:jc w:val="left"/>
              <w:rPr>
                <w:b/>
                <w:bCs/>
              </w:rPr>
            </w:pPr>
            <w:r>
              <w:rPr>
                <w:rFonts w:hint="eastAsia" w:eastAsia="宋体"/>
                <w:b/>
                <w:bCs/>
                <w:i w:val="0"/>
                <w:iCs w:val="0"/>
                <w:szCs w:val="20"/>
                <w:lang w:val="en-US" w:eastAsia="zh-CN"/>
              </w:rPr>
              <w:t>P0 UE specific part for PUSCH</w:t>
            </w:r>
          </w:p>
        </w:tc>
        <w:tc>
          <w:tcPr>
            <w:tcW w:w="1913" w:type="dxa"/>
            <w:shd w:val="clear" w:color="auto" w:fill="auto"/>
            <w:vAlign w:val="center"/>
          </w:tcPr>
          <w:p>
            <w:pPr>
              <w:jc w:val="left"/>
              <w:rPr>
                <w:rFonts w:hint="eastAsia" w:eastAsiaTheme="minorEastAsia"/>
                <w:b/>
                <w:bCs/>
                <w:i w:val="0"/>
                <w:iCs w:val="0"/>
                <w:lang w:val="en-US" w:eastAsia="zh-CN"/>
              </w:rPr>
            </w:pPr>
            <w:r>
              <w:rPr>
                <w:rFonts w:hint="eastAsia"/>
                <w:b/>
                <w:bCs/>
                <w:i w:val="0"/>
                <w:iCs w:val="0"/>
                <w:lang w:val="en-US" w:eastAsia="zh-CN"/>
              </w:rPr>
              <w:t>PL configuration</w:t>
            </w:r>
          </w:p>
        </w:tc>
        <w:tc>
          <w:tcPr>
            <w:tcW w:w="1438" w:type="dxa"/>
            <w:shd w:val="clear" w:color="auto" w:fill="auto"/>
            <w:vAlign w:val="center"/>
          </w:tcPr>
          <w:p>
            <w:pPr>
              <w:jc w:val="left"/>
              <w:rPr>
                <w:rFonts w:hint="eastAsia" w:eastAsia="宋体"/>
                <w:b/>
                <w:bCs/>
                <w:i w:val="0"/>
                <w:iCs w:val="0"/>
                <w:szCs w:val="20"/>
                <w:lang w:val="en-US" w:eastAsia="zh-CN"/>
              </w:rPr>
            </w:pPr>
            <w:r>
              <w:rPr>
                <w:rFonts w:hint="eastAsia" w:eastAsia="宋体"/>
                <w:b/>
                <w:bCs/>
                <w:i w:val="0"/>
                <w:iCs w:val="0"/>
                <w:szCs w:val="20"/>
                <w:lang w:val="en-US" w:eastAsia="zh-CN"/>
              </w:rPr>
              <w:t>alpha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jc w:val="center"/>
        </w:trPr>
        <w:tc>
          <w:tcPr>
            <w:tcW w:w="1150" w:type="dxa"/>
            <w:shd w:val="clear" w:color="auto" w:fill="FFFFFF"/>
            <w:vAlign w:val="center"/>
          </w:tcPr>
          <w:p>
            <w:pPr>
              <w:jc w:val="center"/>
              <w:rPr>
                <w:rFonts w:hint="eastAsia" w:eastAsia="宋体"/>
                <w:szCs w:val="20"/>
                <w:lang w:val="en-US" w:eastAsia="zh-CN"/>
              </w:rPr>
            </w:pPr>
            <w:r>
              <w:rPr>
                <w:rFonts w:hint="eastAsia" w:eastAsia="宋体"/>
                <w:szCs w:val="20"/>
                <w:lang w:val="en-US" w:eastAsia="zh-CN"/>
              </w:rPr>
              <w:t>1</w:t>
            </w:r>
          </w:p>
        </w:tc>
        <w:tc>
          <w:tcPr>
            <w:tcW w:w="1790" w:type="dxa"/>
            <w:shd w:val="clear" w:color="auto" w:fill="FFFFFF"/>
            <w:vAlign w:val="center"/>
          </w:tcPr>
          <w:p>
            <w:pPr>
              <w:jc w:val="center"/>
              <w:rPr>
                <w:rFonts w:eastAsia="宋体"/>
                <w:szCs w:val="20"/>
              </w:rPr>
            </w:pPr>
            <w:r>
              <w:rPr>
                <w:rFonts w:eastAsia="宋体"/>
                <w:szCs w:val="20"/>
              </w:rPr>
              <w:t>TX Beam 1 – SRI</w:t>
            </w:r>
            <w:r>
              <w:rPr>
                <w:rFonts w:eastAsia="宋体"/>
                <w:szCs w:val="20"/>
                <w:vertAlign w:val="subscript"/>
              </w:rPr>
              <w:t>1</w:t>
            </w:r>
          </w:p>
        </w:tc>
        <w:tc>
          <w:tcPr>
            <w:tcW w:w="1575" w:type="dxa"/>
            <w:shd w:val="clear" w:color="auto" w:fill="FFFFFF"/>
            <w:vAlign w:val="center"/>
          </w:tcPr>
          <w:p>
            <w:pPr>
              <w:jc w:val="left"/>
              <w:rPr>
                <w:rFonts w:hint="eastAsia" w:eastAsia="宋体"/>
                <w:i w:val="0"/>
                <w:iCs/>
                <w:szCs w:val="20"/>
                <w:lang w:val="en-US" w:eastAsia="zh-CN"/>
              </w:rPr>
            </w:pPr>
            <w:r>
              <w:rPr>
                <w:rFonts w:hint="eastAsia" w:eastAsia="宋体"/>
                <w:i w:val="0"/>
                <w:iCs/>
                <w:szCs w:val="20"/>
                <w:lang w:val="en-US" w:eastAsia="zh-CN"/>
              </w:rPr>
              <w:t>P0_value_1</w:t>
            </w:r>
          </w:p>
        </w:tc>
        <w:tc>
          <w:tcPr>
            <w:tcW w:w="1467" w:type="dxa"/>
            <w:shd w:val="clear" w:color="auto" w:fill="FFFFFF"/>
            <w:vAlign w:val="center"/>
          </w:tcPr>
          <w:p>
            <w:pPr>
              <w:jc w:val="left"/>
            </w:pPr>
            <w:r>
              <w:rPr>
                <w:rFonts w:hint="eastAsia" w:eastAsia="宋体"/>
                <w:i w:val="0"/>
                <w:iCs/>
                <w:szCs w:val="20"/>
                <w:lang w:val="en-US" w:eastAsia="zh-CN"/>
              </w:rPr>
              <w:t>P0_value_5</w:t>
            </w:r>
          </w:p>
        </w:tc>
        <w:tc>
          <w:tcPr>
            <w:tcW w:w="1913" w:type="dxa"/>
            <w:shd w:val="clear" w:color="auto" w:fill="FFFFFF"/>
            <w:vAlign w:val="center"/>
          </w:tcPr>
          <w:p>
            <w:pPr>
              <w:jc w:val="both"/>
              <w:rPr>
                <w:rFonts w:hint="eastAsia"/>
                <w:iCs/>
              </w:rPr>
            </w:pPr>
            <w:r>
              <w:rPr>
                <w:rFonts w:hint="eastAsia"/>
                <w:iCs/>
                <w:lang w:val="en-US" w:eastAsia="zh-CN"/>
              </w:rPr>
              <w:t>PL_configuration_1</w:t>
            </w:r>
          </w:p>
        </w:tc>
        <w:tc>
          <w:tcPr>
            <w:tcW w:w="1438" w:type="dxa"/>
            <w:shd w:val="clear" w:color="auto" w:fill="FFFFFF"/>
            <w:vAlign w:val="center"/>
          </w:tcPr>
          <w:p>
            <w:pPr>
              <w:jc w:val="both"/>
              <w:rPr>
                <w:rFonts w:eastAsia="宋体"/>
                <w:i w:val="0"/>
                <w:iCs/>
                <w:szCs w:val="20"/>
              </w:rPr>
            </w:pPr>
            <w:r>
              <w:rPr>
                <w:rFonts w:hint="eastAsia" w:eastAsia="宋体"/>
                <w:i w:val="0"/>
                <w:iCs w:val="0"/>
                <w:szCs w:val="20"/>
                <w:lang w:val="en-US" w:eastAsia="zh-CN"/>
              </w:rPr>
              <w:t>alpha</w:t>
            </w:r>
            <w:r>
              <w:rPr>
                <w:rFonts w:hint="eastAsia" w:eastAsia="宋体"/>
                <w:i w:val="0"/>
                <w:iCs/>
                <w:szCs w:val="20"/>
                <w:lang w:val="en-US" w:eastAsia="zh-CN"/>
              </w:rPr>
              <w:t>_value_1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1150" w:type="dxa"/>
            <w:shd w:val="clear" w:color="auto" w:fill="FFFFFF"/>
            <w:vAlign w:val="center"/>
          </w:tcPr>
          <w:p>
            <w:pPr>
              <w:jc w:val="center"/>
              <w:rPr>
                <w:rFonts w:hint="eastAsia" w:eastAsia="宋体"/>
                <w:szCs w:val="20"/>
                <w:lang w:val="en-US" w:eastAsia="zh-CN"/>
              </w:rPr>
            </w:pPr>
            <w:r>
              <w:rPr>
                <w:rFonts w:hint="eastAsia" w:eastAsia="宋体"/>
                <w:szCs w:val="20"/>
                <w:lang w:val="en-US" w:eastAsia="zh-CN"/>
              </w:rPr>
              <w:t>2</w:t>
            </w:r>
          </w:p>
        </w:tc>
        <w:tc>
          <w:tcPr>
            <w:tcW w:w="1790" w:type="dxa"/>
            <w:shd w:val="clear" w:color="auto" w:fill="FFFFFF"/>
            <w:vAlign w:val="center"/>
          </w:tcPr>
          <w:p>
            <w:pPr>
              <w:jc w:val="center"/>
              <w:rPr>
                <w:rFonts w:eastAsia="宋体"/>
                <w:szCs w:val="20"/>
              </w:rPr>
            </w:pPr>
            <w:r>
              <w:rPr>
                <w:rFonts w:eastAsia="宋体"/>
                <w:szCs w:val="20"/>
              </w:rPr>
              <w:t>TX Beam 2 – SRI</w:t>
            </w:r>
            <w:r>
              <w:rPr>
                <w:rFonts w:eastAsia="宋体"/>
                <w:szCs w:val="20"/>
                <w:vertAlign w:val="subscript"/>
              </w:rPr>
              <w:t>2</w:t>
            </w:r>
          </w:p>
        </w:tc>
        <w:tc>
          <w:tcPr>
            <w:tcW w:w="1575" w:type="dxa"/>
            <w:shd w:val="clear" w:color="auto" w:fill="FFFFFF"/>
            <w:vAlign w:val="center"/>
          </w:tcPr>
          <w:p>
            <w:pPr>
              <w:jc w:val="both"/>
              <w:rPr>
                <w:rFonts w:eastAsia="宋体"/>
                <w:i w:val="0"/>
                <w:iCs/>
                <w:szCs w:val="20"/>
              </w:rPr>
            </w:pPr>
            <w:r>
              <w:rPr>
                <w:rFonts w:hint="eastAsia" w:eastAsia="宋体"/>
                <w:i w:val="0"/>
                <w:iCs/>
                <w:szCs w:val="20"/>
                <w:lang w:val="en-US" w:eastAsia="zh-CN"/>
              </w:rPr>
              <w:t>P0_value_2</w:t>
            </w:r>
          </w:p>
        </w:tc>
        <w:tc>
          <w:tcPr>
            <w:tcW w:w="1467" w:type="dxa"/>
            <w:shd w:val="clear" w:color="auto" w:fill="FFFFFF"/>
            <w:vAlign w:val="center"/>
          </w:tcPr>
          <w:p>
            <w:pPr>
              <w:jc w:val="both"/>
            </w:pPr>
            <w:r>
              <w:rPr>
                <w:rFonts w:hint="eastAsia" w:eastAsia="宋体"/>
                <w:i w:val="0"/>
                <w:iCs/>
                <w:szCs w:val="20"/>
                <w:lang w:val="en-US" w:eastAsia="zh-CN"/>
              </w:rPr>
              <w:t>P0_value_6</w:t>
            </w:r>
          </w:p>
        </w:tc>
        <w:tc>
          <w:tcPr>
            <w:tcW w:w="1913" w:type="dxa"/>
            <w:shd w:val="clear" w:color="auto" w:fill="FFFFFF"/>
            <w:vAlign w:val="center"/>
          </w:tcPr>
          <w:p>
            <w:pPr>
              <w:jc w:val="both"/>
              <w:rPr>
                <w:iCs/>
              </w:rPr>
            </w:pPr>
            <w:r>
              <w:rPr>
                <w:rFonts w:hint="eastAsia"/>
                <w:iCs/>
                <w:lang w:val="en-US" w:eastAsia="zh-CN"/>
              </w:rPr>
              <w:t>PL_configuration_2</w:t>
            </w:r>
          </w:p>
        </w:tc>
        <w:tc>
          <w:tcPr>
            <w:tcW w:w="1438" w:type="dxa"/>
            <w:shd w:val="clear" w:color="auto" w:fill="FFFFFF"/>
            <w:vAlign w:val="center"/>
          </w:tcPr>
          <w:p>
            <w:pPr>
              <w:jc w:val="both"/>
              <w:rPr>
                <w:rFonts w:eastAsia="宋体"/>
                <w:iCs/>
                <w:szCs w:val="20"/>
              </w:rPr>
            </w:pPr>
            <w:r>
              <w:rPr>
                <w:rFonts w:hint="eastAsia" w:eastAsia="宋体"/>
                <w:i w:val="0"/>
                <w:iCs w:val="0"/>
                <w:szCs w:val="20"/>
                <w:lang w:val="en-US" w:eastAsia="zh-CN"/>
              </w:rPr>
              <w:t>alpha</w:t>
            </w:r>
            <w:r>
              <w:rPr>
                <w:rFonts w:hint="eastAsia" w:eastAsia="宋体"/>
                <w:i w:val="0"/>
                <w:iCs/>
                <w:szCs w:val="20"/>
                <w:lang w:val="en-US" w:eastAsia="zh-CN"/>
              </w:rPr>
              <w:t>_value_2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1150" w:type="dxa"/>
            <w:shd w:val="clear" w:color="auto" w:fill="FFFFFF"/>
            <w:vAlign w:val="center"/>
          </w:tcPr>
          <w:p>
            <w:pPr>
              <w:jc w:val="center"/>
              <w:rPr>
                <w:rFonts w:hint="eastAsia" w:eastAsia="宋体"/>
                <w:szCs w:val="20"/>
                <w:lang w:val="en-US" w:eastAsia="zh-CN"/>
              </w:rPr>
            </w:pPr>
            <w:r>
              <w:rPr>
                <w:rFonts w:hint="eastAsia" w:eastAsia="宋体"/>
                <w:szCs w:val="20"/>
                <w:lang w:val="en-US" w:eastAsia="zh-CN"/>
              </w:rPr>
              <w:t>3</w:t>
            </w:r>
          </w:p>
        </w:tc>
        <w:tc>
          <w:tcPr>
            <w:tcW w:w="1790" w:type="dxa"/>
            <w:shd w:val="clear" w:color="auto" w:fill="FFFFFF"/>
            <w:vAlign w:val="center"/>
          </w:tcPr>
          <w:p>
            <w:pPr>
              <w:jc w:val="center"/>
              <w:rPr>
                <w:rFonts w:eastAsia="宋体"/>
                <w:szCs w:val="20"/>
              </w:rPr>
            </w:pPr>
            <w:r>
              <w:rPr>
                <w:rFonts w:eastAsia="宋体"/>
                <w:szCs w:val="20"/>
              </w:rPr>
              <w:t>TX Beam 3 – SRI</w:t>
            </w:r>
            <w:r>
              <w:rPr>
                <w:rFonts w:eastAsia="宋体"/>
                <w:szCs w:val="20"/>
                <w:vertAlign w:val="subscript"/>
              </w:rPr>
              <w:t>3</w:t>
            </w:r>
          </w:p>
        </w:tc>
        <w:tc>
          <w:tcPr>
            <w:tcW w:w="1575" w:type="dxa"/>
            <w:shd w:val="clear" w:color="auto" w:fill="FFFFFF"/>
            <w:vAlign w:val="center"/>
          </w:tcPr>
          <w:p>
            <w:pPr>
              <w:jc w:val="both"/>
              <w:rPr>
                <w:rFonts w:eastAsia="宋体"/>
                <w:i w:val="0"/>
                <w:iCs/>
                <w:szCs w:val="20"/>
              </w:rPr>
            </w:pPr>
            <w:r>
              <w:rPr>
                <w:rFonts w:hint="eastAsia" w:eastAsia="宋体"/>
                <w:i w:val="0"/>
                <w:iCs/>
                <w:szCs w:val="20"/>
                <w:lang w:val="en-US" w:eastAsia="zh-CN"/>
              </w:rPr>
              <w:t>P0_value_3</w:t>
            </w:r>
          </w:p>
        </w:tc>
        <w:tc>
          <w:tcPr>
            <w:tcW w:w="1467" w:type="dxa"/>
            <w:shd w:val="clear" w:color="auto" w:fill="FFFFFF"/>
            <w:vAlign w:val="center"/>
          </w:tcPr>
          <w:p>
            <w:pPr>
              <w:jc w:val="both"/>
            </w:pPr>
            <w:r>
              <w:rPr>
                <w:rFonts w:hint="eastAsia" w:eastAsia="宋体"/>
                <w:i w:val="0"/>
                <w:iCs/>
                <w:szCs w:val="20"/>
                <w:lang w:val="en-US" w:eastAsia="zh-CN"/>
              </w:rPr>
              <w:t>P0_value_7</w:t>
            </w:r>
          </w:p>
        </w:tc>
        <w:tc>
          <w:tcPr>
            <w:tcW w:w="1913" w:type="dxa"/>
            <w:shd w:val="clear" w:color="auto" w:fill="FFFFFF"/>
            <w:vAlign w:val="center"/>
          </w:tcPr>
          <w:p>
            <w:pPr>
              <w:jc w:val="both"/>
              <w:rPr>
                <w:rFonts w:eastAsia="宋体"/>
                <w:i w:val="0"/>
                <w:iCs/>
                <w:szCs w:val="20"/>
              </w:rPr>
            </w:pPr>
            <w:r>
              <w:rPr>
                <w:rFonts w:hint="eastAsia"/>
                <w:iCs/>
                <w:lang w:val="en-US" w:eastAsia="zh-CN"/>
              </w:rPr>
              <w:t>PL_configuration_3</w:t>
            </w:r>
          </w:p>
        </w:tc>
        <w:tc>
          <w:tcPr>
            <w:tcW w:w="1438" w:type="dxa"/>
            <w:shd w:val="clear" w:color="auto" w:fill="FFFFFF"/>
            <w:vAlign w:val="center"/>
          </w:tcPr>
          <w:p>
            <w:pPr>
              <w:jc w:val="both"/>
              <w:rPr>
                <w:rFonts w:eastAsia="宋体"/>
                <w:iCs/>
                <w:szCs w:val="20"/>
              </w:rPr>
            </w:pPr>
            <w:r>
              <w:rPr>
                <w:rFonts w:hint="eastAsia" w:eastAsia="宋体"/>
                <w:i w:val="0"/>
                <w:iCs w:val="0"/>
                <w:szCs w:val="20"/>
                <w:lang w:val="en-US" w:eastAsia="zh-CN"/>
              </w:rPr>
              <w:t>alpha</w:t>
            </w:r>
            <w:r>
              <w:rPr>
                <w:rFonts w:hint="eastAsia" w:eastAsia="宋体"/>
                <w:i w:val="0"/>
                <w:iCs/>
                <w:szCs w:val="20"/>
                <w:lang w:val="en-US" w:eastAsia="zh-CN"/>
              </w:rPr>
              <w:t>_value_3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jc w:val="center"/>
        </w:trPr>
        <w:tc>
          <w:tcPr>
            <w:tcW w:w="1150" w:type="dxa"/>
            <w:shd w:val="clear" w:color="auto" w:fill="FFFFFF"/>
            <w:vAlign w:val="center"/>
          </w:tcPr>
          <w:p>
            <w:pPr>
              <w:jc w:val="center"/>
              <w:rPr>
                <w:rFonts w:hint="eastAsia" w:eastAsia="宋体"/>
                <w:szCs w:val="20"/>
                <w:lang w:val="en-US" w:eastAsia="zh-CN"/>
              </w:rPr>
            </w:pPr>
            <w:r>
              <w:rPr>
                <w:rFonts w:hint="eastAsia" w:eastAsia="宋体"/>
                <w:szCs w:val="20"/>
                <w:lang w:val="en-US" w:eastAsia="zh-CN"/>
              </w:rPr>
              <w:t>4</w:t>
            </w:r>
          </w:p>
        </w:tc>
        <w:tc>
          <w:tcPr>
            <w:tcW w:w="1790" w:type="dxa"/>
            <w:shd w:val="clear" w:color="auto" w:fill="FFFFFF"/>
            <w:vAlign w:val="center"/>
          </w:tcPr>
          <w:p>
            <w:pPr>
              <w:jc w:val="center"/>
              <w:rPr>
                <w:rFonts w:eastAsia="宋体"/>
                <w:szCs w:val="20"/>
              </w:rPr>
            </w:pPr>
            <w:r>
              <w:rPr>
                <w:rFonts w:eastAsia="宋体"/>
                <w:szCs w:val="20"/>
              </w:rPr>
              <w:t>TX Beam 4 – SRI</w:t>
            </w:r>
            <w:r>
              <w:rPr>
                <w:rFonts w:eastAsia="宋体"/>
                <w:szCs w:val="20"/>
                <w:vertAlign w:val="subscript"/>
              </w:rPr>
              <w:t>4</w:t>
            </w:r>
          </w:p>
        </w:tc>
        <w:tc>
          <w:tcPr>
            <w:tcW w:w="1575" w:type="dxa"/>
            <w:shd w:val="clear" w:color="auto" w:fill="FFFFFF"/>
            <w:vAlign w:val="center"/>
          </w:tcPr>
          <w:p>
            <w:pPr>
              <w:jc w:val="both"/>
              <w:rPr>
                <w:rFonts w:eastAsia="宋体"/>
                <w:i w:val="0"/>
                <w:iCs/>
                <w:szCs w:val="20"/>
              </w:rPr>
            </w:pPr>
            <w:r>
              <w:rPr>
                <w:rFonts w:hint="eastAsia" w:eastAsia="宋体"/>
                <w:i w:val="0"/>
                <w:iCs/>
                <w:szCs w:val="20"/>
                <w:lang w:val="en-US" w:eastAsia="zh-CN"/>
              </w:rPr>
              <w:t>P0_value_4</w:t>
            </w:r>
          </w:p>
        </w:tc>
        <w:tc>
          <w:tcPr>
            <w:tcW w:w="1467" w:type="dxa"/>
            <w:shd w:val="clear" w:color="auto" w:fill="FFFFFF"/>
            <w:vAlign w:val="center"/>
          </w:tcPr>
          <w:p>
            <w:pPr>
              <w:jc w:val="both"/>
            </w:pPr>
            <w:r>
              <w:rPr>
                <w:rFonts w:hint="eastAsia" w:eastAsia="宋体"/>
                <w:i w:val="0"/>
                <w:iCs/>
                <w:szCs w:val="20"/>
                <w:lang w:val="en-US" w:eastAsia="zh-CN"/>
              </w:rPr>
              <w:t>P0_value_8</w:t>
            </w:r>
          </w:p>
        </w:tc>
        <w:tc>
          <w:tcPr>
            <w:tcW w:w="1913" w:type="dxa"/>
            <w:shd w:val="clear" w:color="auto" w:fill="FFFFFF"/>
            <w:vAlign w:val="center"/>
          </w:tcPr>
          <w:p>
            <w:pPr>
              <w:jc w:val="both"/>
              <w:rPr>
                <w:rFonts w:eastAsia="宋体"/>
                <w:i w:val="0"/>
                <w:iCs/>
                <w:szCs w:val="20"/>
              </w:rPr>
            </w:pPr>
            <w:r>
              <w:rPr>
                <w:rFonts w:hint="eastAsia"/>
                <w:iCs/>
                <w:lang w:val="en-US" w:eastAsia="zh-CN"/>
              </w:rPr>
              <w:t>PL_configuration_4</w:t>
            </w:r>
          </w:p>
        </w:tc>
        <w:tc>
          <w:tcPr>
            <w:tcW w:w="1438" w:type="dxa"/>
            <w:shd w:val="clear" w:color="auto" w:fill="FFFFFF"/>
            <w:vAlign w:val="center"/>
          </w:tcPr>
          <w:p>
            <w:pPr>
              <w:jc w:val="both"/>
              <w:rPr>
                <w:rFonts w:eastAsia="宋体"/>
                <w:iCs/>
                <w:szCs w:val="20"/>
              </w:rPr>
            </w:pPr>
            <w:r>
              <w:rPr>
                <w:rFonts w:hint="eastAsia" w:eastAsia="宋体"/>
                <w:i w:val="0"/>
                <w:iCs w:val="0"/>
                <w:szCs w:val="20"/>
                <w:lang w:val="en-US" w:eastAsia="zh-CN"/>
              </w:rPr>
              <w:t>alpha</w:t>
            </w:r>
            <w:r>
              <w:rPr>
                <w:rFonts w:hint="eastAsia" w:eastAsia="宋体"/>
                <w:i w:val="0"/>
                <w:iCs/>
                <w:szCs w:val="20"/>
                <w:lang w:val="en-US" w:eastAsia="zh-CN"/>
              </w:rPr>
              <w:t>_value_4</w:t>
            </w:r>
          </w:p>
        </w:tc>
      </w:tr>
    </w:tbl>
    <w:p>
      <w:pPr>
        <w:pStyle w:val="71"/>
        <w:snapToGrid w:val="0"/>
        <w:spacing w:before="180" w:beforeLines="50" w:after="0" w:line="240" w:lineRule="auto"/>
        <w:ind w:firstLine="0"/>
        <w:rPr>
          <w:rFonts w:hint="eastAsia"/>
          <w:szCs w:val="20"/>
          <w:vertAlign w:val="baseline"/>
          <w:lang w:val="en-US" w:eastAsia="zh-CN"/>
        </w:rPr>
      </w:pPr>
    </w:p>
    <w:p>
      <w:pPr>
        <w:pStyle w:val="71"/>
        <w:snapToGrid w:val="0"/>
        <w:spacing w:before="180" w:beforeLines="50" w:after="0" w:line="240" w:lineRule="auto"/>
        <w:ind w:firstLine="0"/>
        <w:rPr>
          <w:rFonts w:hint="eastAsia"/>
          <w:szCs w:val="20"/>
          <w:vertAlign w:val="baseline"/>
          <w:lang w:val="en-US" w:eastAsia="zh-CN"/>
        </w:rPr>
      </w:pPr>
      <w:r>
        <w:rPr>
          <w:rFonts w:hint="eastAsia"/>
          <w:szCs w:val="20"/>
          <w:vertAlign w:val="baseline"/>
          <w:lang w:val="en-US" w:eastAsia="zh-CN"/>
        </w:rPr>
        <w:t xml:space="preserve">Table 2 - </w:t>
      </w:r>
      <w:r>
        <w:rPr>
          <w:rFonts w:eastAsia="宋体"/>
          <w:szCs w:val="20"/>
        </w:rPr>
        <w:t>UL Transmit Parameters</w:t>
      </w:r>
      <w:r>
        <w:rPr>
          <w:rFonts w:hint="eastAsia"/>
          <w:szCs w:val="20"/>
          <w:lang w:val="en-US" w:eastAsia="zh-CN"/>
        </w:rPr>
        <w:t xml:space="preserve"> sets for candidate beam set in TX beam group</w:t>
      </w:r>
    </w:p>
    <w:tbl>
      <w:tblPr>
        <w:tblStyle w:val="28"/>
        <w:tblW w:w="93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1790"/>
        <w:gridCol w:w="1575"/>
        <w:gridCol w:w="1467"/>
        <w:gridCol w:w="1913"/>
        <w:gridCol w:w="1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5" w:hRule="atLeast"/>
          <w:jc w:val="center"/>
        </w:trPr>
        <w:tc>
          <w:tcPr>
            <w:tcW w:w="1150" w:type="dxa"/>
            <w:shd w:val="clear" w:color="auto" w:fill="auto"/>
            <w:vAlign w:val="center"/>
          </w:tcPr>
          <w:p>
            <w:pPr>
              <w:jc w:val="left"/>
              <w:rPr>
                <w:rFonts w:eastAsia="宋体"/>
                <w:b/>
                <w:bCs/>
                <w:szCs w:val="20"/>
              </w:rPr>
            </w:pPr>
            <w:r>
              <w:rPr>
                <w:b/>
                <w:bCs/>
                <w:sz w:val="20"/>
              </w:rPr>
              <w:t>ULTxPa</w:t>
            </w:r>
            <w:r>
              <w:rPr>
                <w:rFonts w:hint="eastAsia"/>
                <w:b/>
                <w:bCs/>
                <w:sz w:val="20"/>
              </w:rPr>
              <w:t>ra set ID</w:t>
            </w:r>
          </w:p>
        </w:tc>
        <w:tc>
          <w:tcPr>
            <w:tcW w:w="1790" w:type="dxa"/>
            <w:shd w:val="clear" w:color="auto" w:fill="auto"/>
            <w:vAlign w:val="center"/>
          </w:tcPr>
          <w:p>
            <w:pPr>
              <w:jc w:val="left"/>
              <w:rPr>
                <w:rFonts w:eastAsia="宋体"/>
                <w:b/>
                <w:bCs/>
                <w:szCs w:val="20"/>
              </w:rPr>
            </w:pPr>
            <w:r>
              <w:rPr>
                <w:rFonts w:eastAsia="宋体"/>
                <w:b/>
                <w:bCs/>
                <w:szCs w:val="20"/>
              </w:rPr>
              <w:t>TX Beam</w:t>
            </w:r>
          </w:p>
        </w:tc>
        <w:tc>
          <w:tcPr>
            <w:tcW w:w="1575" w:type="dxa"/>
            <w:vAlign w:val="center"/>
          </w:tcPr>
          <w:p>
            <w:pPr>
              <w:jc w:val="left"/>
              <w:rPr>
                <w:rFonts w:hint="eastAsia" w:eastAsia="宋体"/>
                <w:b/>
                <w:bCs/>
                <w:i/>
                <w:iCs/>
                <w:szCs w:val="20"/>
                <w:lang w:val="en-US" w:eastAsia="zh-CN"/>
              </w:rPr>
            </w:pPr>
            <w:r>
              <w:rPr>
                <w:rFonts w:hint="eastAsia" w:eastAsia="宋体"/>
                <w:b/>
                <w:bCs/>
                <w:i w:val="0"/>
                <w:iCs w:val="0"/>
                <w:szCs w:val="20"/>
                <w:lang w:val="en-US" w:eastAsia="zh-CN"/>
              </w:rPr>
              <w:t>P0 UE specific part for SRS</w:t>
            </w:r>
          </w:p>
        </w:tc>
        <w:tc>
          <w:tcPr>
            <w:tcW w:w="1467" w:type="dxa"/>
            <w:vAlign w:val="center"/>
          </w:tcPr>
          <w:p>
            <w:pPr>
              <w:jc w:val="left"/>
              <w:rPr>
                <w:b/>
                <w:bCs/>
              </w:rPr>
            </w:pPr>
            <w:r>
              <w:rPr>
                <w:rFonts w:hint="eastAsia" w:eastAsia="宋体"/>
                <w:b/>
                <w:bCs/>
                <w:i w:val="0"/>
                <w:iCs w:val="0"/>
                <w:szCs w:val="20"/>
                <w:lang w:val="en-US" w:eastAsia="zh-CN"/>
              </w:rPr>
              <w:t>P0 UE specific part for PUSCH</w:t>
            </w:r>
          </w:p>
        </w:tc>
        <w:tc>
          <w:tcPr>
            <w:tcW w:w="1913" w:type="dxa"/>
            <w:shd w:val="clear" w:color="auto" w:fill="auto"/>
            <w:vAlign w:val="center"/>
          </w:tcPr>
          <w:p>
            <w:pPr>
              <w:jc w:val="left"/>
              <w:rPr>
                <w:rFonts w:hint="eastAsia" w:eastAsiaTheme="minorEastAsia"/>
                <w:b/>
                <w:bCs/>
                <w:i w:val="0"/>
                <w:iCs w:val="0"/>
                <w:lang w:val="en-US" w:eastAsia="zh-CN"/>
              </w:rPr>
            </w:pPr>
            <w:r>
              <w:rPr>
                <w:rFonts w:hint="eastAsia"/>
                <w:b/>
                <w:bCs/>
                <w:i w:val="0"/>
                <w:iCs w:val="0"/>
                <w:lang w:val="en-US" w:eastAsia="zh-CN"/>
              </w:rPr>
              <w:t>PL configuration</w:t>
            </w:r>
          </w:p>
        </w:tc>
        <w:tc>
          <w:tcPr>
            <w:tcW w:w="1438" w:type="dxa"/>
            <w:shd w:val="clear" w:color="auto" w:fill="auto"/>
            <w:vAlign w:val="center"/>
          </w:tcPr>
          <w:p>
            <w:pPr>
              <w:jc w:val="left"/>
              <w:rPr>
                <w:rFonts w:hint="eastAsia" w:eastAsia="宋体"/>
                <w:b/>
                <w:bCs/>
                <w:i w:val="0"/>
                <w:iCs w:val="0"/>
                <w:szCs w:val="20"/>
                <w:lang w:val="en-US" w:eastAsia="zh-CN"/>
              </w:rPr>
            </w:pPr>
            <w:r>
              <w:rPr>
                <w:rFonts w:hint="eastAsia" w:eastAsia="宋体"/>
                <w:b/>
                <w:bCs/>
                <w:i w:val="0"/>
                <w:iCs w:val="0"/>
                <w:szCs w:val="20"/>
                <w:lang w:val="en-US" w:eastAsia="zh-CN"/>
              </w:rPr>
              <w:t>alpha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jc w:val="center"/>
        </w:trPr>
        <w:tc>
          <w:tcPr>
            <w:tcW w:w="1150" w:type="dxa"/>
            <w:shd w:val="clear" w:color="auto" w:fill="FFFFFF"/>
            <w:vAlign w:val="center"/>
          </w:tcPr>
          <w:p>
            <w:pPr>
              <w:jc w:val="center"/>
              <w:rPr>
                <w:rFonts w:hint="eastAsia" w:eastAsia="宋体"/>
                <w:szCs w:val="20"/>
                <w:lang w:val="en-US" w:eastAsia="zh-CN"/>
              </w:rPr>
            </w:pPr>
            <w:r>
              <w:rPr>
                <w:rFonts w:hint="eastAsia" w:eastAsia="宋体"/>
                <w:szCs w:val="20"/>
                <w:lang w:val="en-US" w:eastAsia="zh-CN"/>
              </w:rPr>
              <w:t>1</w:t>
            </w:r>
          </w:p>
        </w:tc>
        <w:tc>
          <w:tcPr>
            <w:tcW w:w="1790" w:type="dxa"/>
            <w:shd w:val="clear" w:color="auto" w:fill="FFFFFF"/>
            <w:vAlign w:val="center"/>
          </w:tcPr>
          <w:p>
            <w:pPr>
              <w:jc w:val="center"/>
              <w:rPr>
                <w:rFonts w:eastAsia="宋体"/>
                <w:szCs w:val="20"/>
              </w:rPr>
            </w:pPr>
            <w:r>
              <w:rPr>
                <w:rFonts w:eastAsia="宋体"/>
                <w:szCs w:val="20"/>
              </w:rPr>
              <w:t xml:space="preserve">TX Beam </w:t>
            </w:r>
            <w:r>
              <w:rPr>
                <w:rFonts w:hint="eastAsia" w:eastAsia="宋体"/>
                <w:szCs w:val="20"/>
                <w:lang w:val="en-US" w:eastAsia="zh-CN"/>
              </w:rPr>
              <w:t xml:space="preserve">group </w:t>
            </w:r>
            <w:r>
              <w:rPr>
                <w:rFonts w:eastAsia="宋体"/>
                <w:szCs w:val="20"/>
              </w:rPr>
              <w:t>1 – SRI</w:t>
            </w:r>
            <w:r>
              <w:rPr>
                <w:rFonts w:eastAsia="宋体"/>
                <w:szCs w:val="20"/>
                <w:vertAlign w:val="subscript"/>
              </w:rPr>
              <w:t>1</w:t>
            </w:r>
            <w:r>
              <w:rPr>
                <w:rFonts w:hint="eastAsia" w:eastAsia="宋体"/>
                <w:szCs w:val="20"/>
                <w:vertAlign w:val="subscript"/>
                <w:lang w:val="en-US" w:eastAsia="zh-CN"/>
              </w:rPr>
              <w:t xml:space="preserve"> </w:t>
            </w:r>
            <w:r>
              <w:rPr>
                <w:rFonts w:hint="eastAsia" w:eastAsia="宋体"/>
                <w:szCs w:val="20"/>
                <w:vertAlign w:val="baseline"/>
                <w:lang w:val="en-US" w:eastAsia="zh-CN"/>
              </w:rPr>
              <w:t>and</w:t>
            </w:r>
            <w:r>
              <w:rPr>
                <w:rFonts w:eastAsia="宋体"/>
                <w:szCs w:val="20"/>
                <w:vertAlign w:val="baseline"/>
              </w:rPr>
              <w:t xml:space="preserve"> </w:t>
            </w:r>
            <w:r>
              <w:rPr>
                <w:rFonts w:eastAsia="宋体"/>
                <w:szCs w:val="20"/>
              </w:rPr>
              <w:t>SRI</w:t>
            </w:r>
            <w:r>
              <w:rPr>
                <w:rFonts w:eastAsia="宋体"/>
                <w:szCs w:val="20"/>
                <w:vertAlign w:val="subscript"/>
              </w:rPr>
              <w:t>2</w:t>
            </w:r>
          </w:p>
        </w:tc>
        <w:tc>
          <w:tcPr>
            <w:tcW w:w="1575" w:type="dxa"/>
            <w:shd w:val="clear" w:color="auto" w:fill="FFFFFF"/>
            <w:vAlign w:val="center"/>
          </w:tcPr>
          <w:p>
            <w:pPr>
              <w:jc w:val="left"/>
              <w:rPr>
                <w:rFonts w:hint="eastAsia" w:eastAsia="宋体"/>
                <w:i w:val="0"/>
                <w:iCs/>
                <w:szCs w:val="20"/>
                <w:lang w:val="en-US" w:eastAsia="zh-CN"/>
              </w:rPr>
            </w:pPr>
            <w:r>
              <w:rPr>
                <w:rFonts w:hint="eastAsia" w:eastAsia="宋体"/>
                <w:i w:val="0"/>
                <w:iCs/>
                <w:szCs w:val="20"/>
                <w:lang w:val="en-US" w:eastAsia="zh-CN"/>
              </w:rPr>
              <w:t>P0_value_1</w:t>
            </w:r>
          </w:p>
        </w:tc>
        <w:tc>
          <w:tcPr>
            <w:tcW w:w="1467" w:type="dxa"/>
            <w:shd w:val="clear" w:color="auto" w:fill="FFFFFF"/>
            <w:vAlign w:val="center"/>
          </w:tcPr>
          <w:p>
            <w:pPr>
              <w:jc w:val="left"/>
            </w:pPr>
            <w:r>
              <w:rPr>
                <w:rFonts w:hint="eastAsia" w:eastAsia="宋体"/>
                <w:i w:val="0"/>
                <w:iCs/>
                <w:szCs w:val="20"/>
                <w:lang w:val="en-US" w:eastAsia="zh-CN"/>
              </w:rPr>
              <w:t>P0_value_3</w:t>
            </w:r>
          </w:p>
        </w:tc>
        <w:tc>
          <w:tcPr>
            <w:tcW w:w="1913" w:type="dxa"/>
            <w:shd w:val="clear" w:color="auto" w:fill="FFFFFF"/>
            <w:vAlign w:val="center"/>
          </w:tcPr>
          <w:p>
            <w:pPr>
              <w:jc w:val="both"/>
              <w:rPr>
                <w:rFonts w:hint="eastAsia"/>
                <w:iCs/>
              </w:rPr>
            </w:pPr>
            <w:r>
              <w:rPr>
                <w:rFonts w:hint="eastAsia"/>
                <w:iCs/>
                <w:lang w:val="en-US" w:eastAsia="zh-CN"/>
              </w:rPr>
              <w:t>PL_configuration_1</w:t>
            </w:r>
          </w:p>
        </w:tc>
        <w:tc>
          <w:tcPr>
            <w:tcW w:w="1438" w:type="dxa"/>
            <w:shd w:val="clear" w:color="auto" w:fill="FFFFFF"/>
            <w:vAlign w:val="center"/>
          </w:tcPr>
          <w:p>
            <w:pPr>
              <w:jc w:val="both"/>
              <w:rPr>
                <w:rFonts w:eastAsia="宋体"/>
                <w:i w:val="0"/>
                <w:iCs/>
                <w:szCs w:val="20"/>
              </w:rPr>
            </w:pPr>
            <w:r>
              <w:rPr>
                <w:rFonts w:hint="eastAsia" w:eastAsia="宋体"/>
                <w:i w:val="0"/>
                <w:iCs w:val="0"/>
                <w:szCs w:val="20"/>
                <w:lang w:val="en-US" w:eastAsia="zh-CN"/>
              </w:rPr>
              <w:t>alpha</w:t>
            </w:r>
            <w:r>
              <w:rPr>
                <w:rFonts w:hint="eastAsia" w:eastAsia="宋体"/>
                <w:i w:val="0"/>
                <w:iCs/>
                <w:szCs w:val="20"/>
                <w:lang w:val="en-US" w:eastAsia="zh-CN"/>
              </w:rPr>
              <w:t>_value_1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1150" w:type="dxa"/>
            <w:shd w:val="clear" w:color="auto" w:fill="FFFFFF"/>
            <w:vAlign w:val="center"/>
          </w:tcPr>
          <w:p>
            <w:pPr>
              <w:jc w:val="center"/>
              <w:rPr>
                <w:rFonts w:hint="eastAsia" w:eastAsia="宋体"/>
                <w:szCs w:val="20"/>
                <w:lang w:val="en-US" w:eastAsia="zh-CN"/>
              </w:rPr>
            </w:pPr>
            <w:r>
              <w:rPr>
                <w:rFonts w:hint="eastAsia" w:eastAsia="宋体"/>
                <w:szCs w:val="20"/>
                <w:lang w:val="en-US" w:eastAsia="zh-CN"/>
              </w:rPr>
              <w:t>2</w:t>
            </w:r>
          </w:p>
        </w:tc>
        <w:tc>
          <w:tcPr>
            <w:tcW w:w="1790" w:type="dxa"/>
            <w:shd w:val="clear" w:color="auto" w:fill="FFFFFF"/>
            <w:vAlign w:val="center"/>
          </w:tcPr>
          <w:p>
            <w:pPr>
              <w:jc w:val="center"/>
              <w:rPr>
                <w:rFonts w:eastAsia="宋体"/>
                <w:szCs w:val="20"/>
              </w:rPr>
            </w:pPr>
            <w:r>
              <w:rPr>
                <w:rFonts w:eastAsia="宋体"/>
                <w:szCs w:val="20"/>
              </w:rPr>
              <w:t>TX Beam</w:t>
            </w:r>
            <w:r>
              <w:rPr>
                <w:rFonts w:hint="eastAsia" w:eastAsia="宋体"/>
                <w:szCs w:val="20"/>
                <w:lang w:val="en-US" w:eastAsia="zh-CN"/>
              </w:rPr>
              <w:t xml:space="preserve"> group</w:t>
            </w:r>
            <w:r>
              <w:rPr>
                <w:rFonts w:eastAsia="宋体"/>
                <w:szCs w:val="20"/>
              </w:rPr>
              <w:t xml:space="preserve"> </w:t>
            </w:r>
            <w:r>
              <w:rPr>
                <w:rFonts w:hint="eastAsia" w:eastAsia="宋体"/>
                <w:szCs w:val="20"/>
                <w:lang w:val="en-US" w:eastAsia="zh-CN"/>
              </w:rPr>
              <w:t>2</w:t>
            </w:r>
            <w:r>
              <w:rPr>
                <w:rFonts w:eastAsia="宋体"/>
                <w:szCs w:val="20"/>
              </w:rPr>
              <w:t xml:space="preserve"> – SRI</w:t>
            </w:r>
            <w:r>
              <w:rPr>
                <w:rFonts w:eastAsia="宋体"/>
                <w:szCs w:val="20"/>
                <w:vertAlign w:val="subscript"/>
              </w:rPr>
              <w:t>3</w:t>
            </w:r>
            <w:r>
              <w:rPr>
                <w:rFonts w:hint="eastAsia" w:eastAsia="宋体"/>
                <w:szCs w:val="20"/>
                <w:vertAlign w:val="subscript"/>
                <w:lang w:val="en-US" w:eastAsia="zh-CN"/>
              </w:rPr>
              <w:t xml:space="preserve"> </w:t>
            </w:r>
            <w:r>
              <w:rPr>
                <w:rFonts w:hint="eastAsia" w:eastAsia="宋体"/>
                <w:szCs w:val="20"/>
                <w:vertAlign w:val="baseline"/>
                <w:lang w:val="en-US" w:eastAsia="zh-CN"/>
              </w:rPr>
              <w:t xml:space="preserve">and </w:t>
            </w:r>
            <w:r>
              <w:rPr>
                <w:rFonts w:eastAsia="宋体"/>
                <w:szCs w:val="20"/>
              </w:rPr>
              <w:t>SRI</w:t>
            </w:r>
            <w:r>
              <w:rPr>
                <w:rFonts w:eastAsia="宋体"/>
                <w:szCs w:val="20"/>
                <w:vertAlign w:val="subscript"/>
              </w:rPr>
              <w:t>4</w:t>
            </w:r>
          </w:p>
        </w:tc>
        <w:tc>
          <w:tcPr>
            <w:tcW w:w="1575" w:type="dxa"/>
            <w:shd w:val="clear" w:color="auto" w:fill="FFFFFF"/>
            <w:vAlign w:val="center"/>
          </w:tcPr>
          <w:p>
            <w:pPr>
              <w:jc w:val="both"/>
              <w:rPr>
                <w:rFonts w:eastAsia="宋体"/>
                <w:i w:val="0"/>
                <w:iCs/>
                <w:szCs w:val="20"/>
              </w:rPr>
            </w:pPr>
            <w:r>
              <w:rPr>
                <w:rFonts w:hint="eastAsia" w:eastAsia="宋体"/>
                <w:i w:val="0"/>
                <w:iCs/>
                <w:szCs w:val="20"/>
                <w:lang w:val="en-US" w:eastAsia="zh-CN"/>
              </w:rPr>
              <w:t>P0_value_2</w:t>
            </w:r>
          </w:p>
        </w:tc>
        <w:tc>
          <w:tcPr>
            <w:tcW w:w="1467" w:type="dxa"/>
            <w:shd w:val="clear" w:color="auto" w:fill="FFFFFF"/>
            <w:vAlign w:val="center"/>
          </w:tcPr>
          <w:p>
            <w:pPr>
              <w:jc w:val="both"/>
            </w:pPr>
            <w:r>
              <w:rPr>
                <w:rFonts w:hint="eastAsia" w:eastAsia="宋体"/>
                <w:i w:val="0"/>
                <w:iCs/>
                <w:szCs w:val="20"/>
                <w:lang w:val="en-US" w:eastAsia="zh-CN"/>
              </w:rPr>
              <w:t>P0_value_4</w:t>
            </w:r>
          </w:p>
        </w:tc>
        <w:tc>
          <w:tcPr>
            <w:tcW w:w="1913" w:type="dxa"/>
            <w:shd w:val="clear" w:color="auto" w:fill="FFFFFF"/>
            <w:vAlign w:val="center"/>
          </w:tcPr>
          <w:p>
            <w:pPr>
              <w:jc w:val="both"/>
              <w:rPr>
                <w:rFonts w:eastAsia="宋体"/>
                <w:i w:val="0"/>
                <w:iCs/>
                <w:szCs w:val="20"/>
              </w:rPr>
            </w:pPr>
            <w:r>
              <w:rPr>
                <w:rFonts w:hint="eastAsia"/>
                <w:iCs/>
                <w:lang w:val="en-US" w:eastAsia="zh-CN"/>
              </w:rPr>
              <w:t>PL_configuration_2</w:t>
            </w:r>
          </w:p>
        </w:tc>
        <w:tc>
          <w:tcPr>
            <w:tcW w:w="1438" w:type="dxa"/>
            <w:shd w:val="clear" w:color="auto" w:fill="FFFFFF"/>
            <w:vAlign w:val="center"/>
          </w:tcPr>
          <w:p>
            <w:pPr>
              <w:jc w:val="both"/>
              <w:rPr>
                <w:rFonts w:eastAsia="宋体"/>
                <w:iCs/>
                <w:szCs w:val="20"/>
              </w:rPr>
            </w:pPr>
            <w:r>
              <w:rPr>
                <w:rFonts w:hint="eastAsia" w:eastAsia="宋体"/>
                <w:i w:val="0"/>
                <w:iCs w:val="0"/>
                <w:szCs w:val="20"/>
                <w:lang w:val="en-US" w:eastAsia="zh-CN"/>
              </w:rPr>
              <w:t>alpha</w:t>
            </w:r>
            <w:r>
              <w:rPr>
                <w:rFonts w:hint="eastAsia" w:eastAsia="宋体"/>
                <w:i w:val="0"/>
                <w:iCs/>
                <w:szCs w:val="20"/>
                <w:lang w:val="en-US" w:eastAsia="zh-CN"/>
              </w:rPr>
              <w:t>_value_2</w:t>
            </w:r>
          </w:p>
        </w:tc>
      </w:tr>
    </w:tbl>
    <w:p>
      <w:pPr>
        <w:pStyle w:val="71"/>
        <w:snapToGrid w:val="0"/>
        <w:spacing w:before="180" w:beforeLines="50" w:after="0" w:line="240" w:lineRule="auto"/>
        <w:ind w:firstLine="0"/>
        <w:rPr>
          <w:rFonts w:hint="eastAsia"/>
          <w:sz w:val="20"/>
          <w:lang w:val="en-US" w:eastAsia="zh-CN"/>
        </w:rPr>
      </w:pPr>
      <w:r>
        <w:rPr>
          <w:rFonts w:hint="eastAsia"/>
          <w:sz w:val="20"/>
        </w:rPr>
        <w:t xml:space="preserve">A </w:t>
      </w:r>
      <w:r>
        <w:rPr>
          <w:sz w:val="20"/>
        </w:rPr>
        <w:t>ULTxPa</w:t>
      </w:r>
      <w:r>
        <w:rPr>
          <w:rFonts w:hint="eastAsia"/>
          <w:sz w:val="20"/>
        </w:rPr>
        <w:t xml:space="preserve">ra set is </w:t>
      </w:r>
      <w:r>
        <w:rPr>
          <w:rFonts w:hint="eastAsia"/>
          <w:sz w:val="20"/>
          <w:lang w:val="en-US" w:eastAsia="zh-CN"/>
        </w:rPr>
        <w:t xml:space="preserve">power control configuration </w:t>
      </w:r>
      <w:r>
        <w:rPr>
          <w:rFonts w:hint="eastAsia"/>
          <w:sz w:val="20"/>
        </w:rPr>
        <w:t xml:space="preserve">associated with a </w:t>
      </w:r>
      <w:r>
        <w:rPr>
          <w:rFonts w:hint="eastAsia"/>
          <w:sz w:val="20"/>
          <w:lang w:val="en-US" w:eastAsia="zh-CN"/>
        </w:rPr>
        <w:t xml:space="preserve">specific BPL (group). In the above examples each </w:t>
      </w:r>
      <w:r>
        <w:rPr>
          <w:sz w:val="20"/>
        </w:rPr>
        <w:t>ULTxPa</w:t>
      </w:r>
      <w:r>
        <w:rPr>
          <w:rFonts w:hint="eastAsia"/>
          <w:sz w:val="20"/>
        </w:rPr>
        <w:t xml:space="preserve">ra set </w:t>
      </w:r>
      <w:r>
        <w:rPr>
          <w:rFonts w:hint="eastAsia"/>
          <w:sz w:val="20"/>
          <w:lang w:val="en-US" w:eastAsia="zh-CN"/>
        </w:rPr>
        <w:t xml:space="preserve">carries multiple P0 UE specific part for multiple channels and signals, </w:t>
      </w:r>
      <w:r>
        <w:rPr>
          <w:sz w:val="20"/>
        </w:rPr>
        <w:t>ULTxPa</w:t>
      </w:r>
      <w:r>
        <w:rPr>
          <w:rFonts w:hint="eastAsia"/>
          <w:sz w:val="20"/>
        </w:rPr>
        <w:t xml:space="preserve">ra set </w:t>
      </w:r>
      <w:r>
        <w:rPr>
          <w:rFonts w:hint="eastAsia"/>
          <w:sz w:val="20"/>
          <w:lang w:val="en-US" w:eastAsia="zh-CN"/>
        </w:rPr>
        <w:t>could also include P0 UE specific part for only one type of channel or signal.</w:t>
      </w:r>
    </w:p>
    <w:p>
      <w:pPr>
        <w:pStyle w:val="71"/>
        <w:snapToGrid w:val="0"/>
        <w:spacing w:before="180" w:beforeLines="50" w:after="0" w:line="240" w:lineRule="auto"/>
        <w:ind w:firstLine="0"/>
        <w:rPr>
          <w:rFonts w:hint="eastAsia"/>
          <w:sz w:val="20"/>
        </w:rPr>
      </w:pPr>
      <w:r>
        <w:rPr>
          <w:rFonts w:hint="eastAsia"/>
          <w:sz w:val="20"/>
          <w:lang w:val="en-US" w:eastAsia="zh-CN"/>
        </w:rPr>
        <w:t xml:space="preserve">Besides that, </w:t>
      </w:r>
      <w:r>
        <w:rPr>
          <w:rFonts w:hint="eastAsia"/>
          <w:sz w:val="20"/>
        </w:rPr>
        <w:t xml:space="preserve">gNB could configure a UE one or more </w:t>
      </w:r>
      <w:r>
        <w:rPr>
          <w:sz w:val="20"/>
        </w:rPr>
        <w:t>ULTxPa</w:t>
      </w:r>
      <w:r>
        <w:rPr>
          <w:rFonts w:hint="eastAsia"/>
          <w:sz w:val="20"/>
        </w:rPr>
        <w:t xml:space="preserve">ra settings, and each </w:t>
      </w:r>
      <w:r>
        <w:rPr>
          <w:sz w:val="20"/>
        </w:rPr>
        <w:t>ULTxPa</w:t>
      </w:r>
      <w:r>
        <w:rPr>
          <w:rFonts w:hint="eastAsia"/>
          <w:sz w:val="20"/>
        </w:rPr>
        <w:t xml:space="preserve">ra setting </w:t>
      </w:r>
      <w:r>
        <w:rPr>
          <w:rFonts w:hint="eastAsia"/>
          <w:sz w:val="20"/>
          <w:lang w:val="en-US" w:eastAsia="zh-CN"/>
        </w:rPr>
        <w:t xml:space="preserve">indicates </w:t>
      </w:r>
      <w:r>
        <w:rPr>
          <w:rFonts w:hint="eastAsia"/>
          <w:sz w:val="20"/>
        </w:rPr>
        <w:t xml:space="preserve">one or more </w:t>
      </w:r>
      <w:r>
        <w:rPr>
          <w:sz w:val="20"/>
        </w:rPr>
        <w:t>ULTxPa</w:t>
      </w:r>
      <w:r>
        <w:rPr>
          <w:rFonts w:hint="eastAsia"/>
          <w:sz w:val="20"/>
        </w:rPr>
        <w:t xml:space="preserve">ra sets. </w:t>
      </w:r>
      <w:r>
        <w:rPr>
          <w:rFonts w:hint="eastAsia"/>
          <w:sz w:val="20"/>
          <w:lang w:val="en-US" w:eastAsia="zh-CN"/>
        </w:rPr>
        <w:t xml:space="preserve">In this way multiple concurrent power control loops could be supported. </w:t>
      </w:r>
      <w:r>
        <w:rPr>
          <w:rFonts w:hint="eastAsia"/>
          <w:sz w:val="20"/>
        </w:rPr>
        <w:t xml:space="preserve">A ULTxPara setting is configured for a channel or signal, or for a specific configuration, such as traffic, etc.. </w:t>
      </w:r>
      <w:r>
        <w:rPr>
          <w:rFonts w:hint="eastAsia"/>
          <w:sz w:val="20"/>
          <w:lang w:val="en-US" w:eastAsia="zh-CN"/>
        </w:rPr>
        <w:t xml:space="preserve">Table 3 is an example for ULTxPara setting configuration. ULTxPara setting ID 1 supports only one ULTxPara set which is associated with a power control loop for PUSCH and ULTxPara setting ID 2 supports two ULTxPara sets which means two concurrent power control loop for PUSCH. In reality, ULTxPara setting ID 1 and ULTxPara setting ID 2 are configured to different scenarios, e.g. for URLLC and eMBB respectively. </w:t>
      </w:r>
    </w:p>
    <w:p>
      <w:pPr>
        <w:pStyle w:val="71"/>
        <w:snapToGrid w:val="0"/>
        <w:spacing w:before="180" w:beforeLines="50" w:after="0" w:line="240" w:lineRule="auto"/>
        <w:ind w:firstLine="0"/>
        <w:rPr>
          <w:rFonts w:hint="eastAsia"/>
          <w:szCs w:val="20"/>
          <w:vertAlign w:val="baseline"/>
          <w:lang w:val="en-US" w:eastAsia="zh-CN"/>
        </w:rPr>
      </w:pPr>
      <w:r>
        <w:rPr>
          <w:rFonts w:hint="eastAsia"/>
          <w:szCs w:val="20"/>
          <w:vertAlign w:val="baseline"/>
          <w:lang w:val="en-US" w:eastAsia="zh-CN"/>
        </w:rPr>
        <w:t xml:space="preserve">Table 3 - </w:t>
      </w:r>
      <w:r>
        <w:rPr>
          <w:rFonts w:eastAsia="宋体"/>
          <w:szCs w:val="20"/>
        </w:rPr>
        <w:t>UL Transmit Parameters</w:t>
      </w:r>
      <w:r>
        <w:rPr>
          <w:rFonts w:hint="eastAsia"/>
          <w:szCs w:val="20"/>
          <w:lang w:val="en-US" w:eastAsia="zh-CN"/>
        </w:rPr>
        <w:t xml:space="preserve"> setting for PUSCH</w:t>
      </w:r>
    </w:p>
    <w:tbl>
      <w:tblPr>
        <w:tblStyle w:val="28"/>
        <w:tblW w:w="44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6"/>
        <w:gridCol w:w="2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1" w:hRule="atLeast"/>
          <w:jc w:val="center"/>
        </w:trPr>
        <w:tc>
          <w:tcPr>
            <w:tcW w:w="2186" w:type="dxa"/>
            <w:shd w:val="clear" w:color="auto" w:fill="auto"/>
            <w:vAlign w:val="center"/>
          </w:tcPr>
          <w:p>
            <w:pPr>
              <w:jc w:val="left"/>
              <w:rPr>
                <w:rFonts w:eastAsia="宋体"/>
                <w:b/>
                <w:bCs/>
                <w:szCs w:val="20"/>
              </w:rPr>
            </w:pPr>
            <w:r>
              <w:rPr>
                <w:b/>
                <w:bCs/>
                <w:sz w:val="20"/>
              </w:rPr>
              <w:t>ULTxPa</w:t>
            </w:r>
            <w:r>
              <w:rPr>
                <w:rFonts w:hint="eastAsia"/>
                <w:b/>
                <w:bCs/>
                <w:sz w:val="20"/>
              </w:rPr>
              <w:t>ra set</w:t>
            </w:r>
            <w:r>
              <w:rPr>
                <w:rFonts w:hint="eastAsia"/>
                <w:b/>
                <w:bCs/>
                <w:sz w:val="20"/>
                <w:lang w:val="en-US" w:eastAsia="zh-CN"/>
              </w:rPr>
              <w:t>ting</w:t>
            </w:r>
            <w:r>
              <w:rPr>
                <w:rFonts w:hint="eastAsia"/>
                <w:b/>
                <w:bCs/>
                <w:sz w:val="20"/>
              </w:rPr>
              <w:t xml:space="preserve"> ID</w:t>
            </w:r>
          </w:p>
        </w:tc>
        <w:tc>
          <w:tcPr>
            <w:tcW w:w="2271" w:type="dxa"/>
            <w:shd w:val="clear" w:color="auto" w:fill="auto"/>
            <w:vAlign w:val="center"/>
          </w:tcPr>
          <w:p>
            <w:pPr>
              <w:jc w:val="left"/>
              <w:rPr>
                <w:rFonts w:eastAsia="宋体"/>
                <w:b/>
                <w:bCs/>
                <w:szCs w:val="20"/>
              </w:rPr>
            </w:pPr>
            <w:r>
              <w:rPr>
                <w:b/>
                <w:bCs/>
                <w:sz w:val="20"/>
              </w:rPr>
              <w:t>ULTxPa</w:t>
            </w:r>
            <w:r>
              <w:rPr>
                <w:rFonts w:hint="eastAsia"/>
                <w:b/>
                <w:bCs/>
                <w:sz w:val="20"/>
              </w:rPr>
              <w:t>ra set ID</w:t>
            </w:r>
            <w:r>
              <w:rPr>
                <w:rFonts w:hint="eastAsia"/>
                <w:b/>
                <w:bCs/>
                <w:sz w:val="20"/>
                <w:lang w:val="en-US" w:eastAsia="zh-CN"/>
              </w:rPr>
              <w:t xml:space="preserve">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jc w:val="center"/>
        </w:trPr>
        <w:tc>
          <w:tcPr>
            <w:tcW w:w="2186" w:type="dxa"/>
            <w:shd w:val="clear" w:color="auto" w:fill="FFFFFF"/>
            <w:vAlign w:val="center"/>
          </w:tcPr>
          <w:p>
            <w:pPr>
              <w:jc w:val="center"/>
              <w:rPr>
                <w:rFonts w:hint="eastAsia" w:eastAsia="宋体"/>
                <w:szCs w:val="20"/>
                <w:lang w:val="en-US" w:eastAsia="zh-CN"/>
              </w:rPr>
            </w:pPr>
            <w:r>
              <w:rPr>
                <w:rFonts w:hint="eastAsia" w:eastAsia="宋体"/>
                <w:szCs w:val="20"/>
                <w:lang w:val="en-US" w:eastAsia="zh-CN"/>
              </w:rPr>
              <w:t>1</w:t>
            </w:r>
          </w:p>
        </w:tc>
        <w:tc>
          <w:tcPr>
            <w:tcW w:w="2271" w:type="dxa"/>
            <w:shd w:val="clear" w:color="auto" w:fill="FFFFFF"/>
            <w:vAlign w:val="center"/>
          </w:tcPr>
          <w:p>
            <w:pPr>
              <w:jc w:val="center"/>
              <w:rPr>
                <w:rFonts w:eastAsia="宋体"/>
                <w:szCs w:val="20"/>
              </w:rPr>
            </w:pPr>
            <w:r>
              <w:rPr>
                <w:rFonts w:hint="eastAsia" w:eastAsia="宋体"/>
                <w:szCs w:val="20"/>
              </w:rPr>
              <w:t>ULTxPara set ID</w:t>
            </w:r>
            <w:r>
              <w:rPr>
                <w:rFonts w:hint="eastAsia" w:eastAsia="宋体"/>
                <w:szCs w:val="20"/>
                <w:lang w:val="en-US" w:eastAsia="zh-CN"/>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2186" w:type="dxa"/>
            <w:shd w:val="clear" w:color="auto" w:fill="FFFFFF"/>
            <w:vAlign w:val="center"/>
          </w:tcPr>
          <w:p>
            <w:pPr>
              <w:jc w:val="center"/>
              <w:rPr>
                <w:rFonts w:hint="eastAsia" w:eastAsia="宋体"/>
                <w:szCs w:val="20"/>
                <w:lang w:val="en-US" w:eastAsia="zh-CN"/>
              </w:rPr>
            </w:pPr>
            <w:r>
              <w:rPr>
                <w:rFonts w:hint="eastAsia" w:eastAsia="宋体"/>
                <w:szCs w:val="20"/>
                <w:lang w:val="en-US" w:eastAsia="zh-CN"/>
              </w:rPr>
              <w:t>2</w:t>
            </w:r>
          </w:p>
        </w:tc>
        <w:tc>
          <w:tcPr>
            <w:tcW w:w="2271" w:type="dxa"/>
            <w:shd w:val="clear" w:color="auto" w:fill="FFFFFF"/>
            <w:vAlign w:val="center"/>
          </w:tcPr>
          <w:p>
            <w:pPr>
              <w:jc w:val="center"/>
              <w:rPr>
                <w:rFonts w:hint="eastAsia" w:eastAsia="宋体"/>
                <w:szCs w:val="20"/>
                <w:lang w:val="en-US" w:eastAsia="zh-CN"/>
              </w:rPr>
            </w:pPr>
            <w:r>
              <w:rPr>
                <w:rFonts w:hint="eastAsia" w:eastAsia="宋体"/>
                <w:szCs w:val="20"/>
              </w:rPr>
              <w:t>ULTxPara set ID</w:t>
            </w:r>
            <w:r>
              <w:rPr>
                <w:rFonts w:hint="eastAsia" w:eastAsia="宋体"/>
                <w:szCs w:val="20"/>
                <w:lang w:val="en-US" w:eastAsia="zh-CN"/>
              </w:rPr>
              <w:t xml:space="preserve"> 1</w:t>
            </w:r>
          </w:p>
          <w:p>
            <w:pPr>
              <w:jc w:val="center"/>
              <w:rPr>
                <w:rFonts w:hint="eastAsia" w:eastAsia="宋体"/>
                <w:szCs w:val="20"/>
                <w:lang w:val="en-US" w:eastAsia="zh-CN"/>
              </w:rPr>
            </w:pPr>
            <w:r>
              <w:rPr>
                <w:rFonts w:hint="eastAsia" w:eastAsia="宋体"/>
                <w:szCs w:val="20"/>
              </w:rPr>
              <w:t>ULTxPara set ID</w:t>
            </w:r>
            <w:r>
              <w:rPr>
                <w:rFonts w:hint="eastAsia" w:eastAsia="宋体"/>
                <w:szCs w:val="20"/>
                <w:lang w:val="en-US" w:eastAsia="zh-CN"/>
              </w:rPr>
              <w:t xml:space="preserve"> 2</w:t>
            </w:r>
          </w:p>
        </w:tc>
      </w:tr>
    </w:tbl>
    <w:p>
      <w:pPr>
        <w:pStyle w:val="71"/>
        <w:snapToGrid w:val="0"/>
        <w:spacing w:before="181" w:beforeLines="50" w:after="0" w:afterLines="0" w:line="240" w:lineRule="auto"/>
        <w:ind w:firstLine="0"/>
        <w:rPr>
          <w:sz w:val="20"/>
        </w:rPr>
      </w:pPr>
      <w:r>
        <w:rPr>
          <w:rFonts w:hint="eastAsia"/>
          <w:sz w:val="20"/>
        </w:rPr>
        <w:t xml:space="preserve">The parameters of </w:t>
      </w:r>
      <w:r>
        <w:rPr>
          <w:sz w:val="20"/>
        </w:rPr>
        <w:t>ULTxPa</w:t>
      </w:r>
      <w:r>
        <w:rPr>
          <w:rFonts w:hint="eastAsia"/>
          <w:sz w:val="20"/>
        </w:rPr>
        <w:t xml:space="preserve">ra settings should be </w:t>
      </w:r>
      <w:r>
        <w:rPr>
          <w:sz w:val="20"/>
        </w:rPr>
        <w:t>configured</w:t>
      </w:r>
      <w:r>
        <w:rPr>
          <w:rFonts w:hint="eastAsia"/>
          <w:sz w:val="20"/>
        </w:rPr>
        <w:t xml:space="preserve"> via RRC signaling. Then gNB indicates TX beam(s) in DCI or MAC CE for a UL transmission to UE which could determine the proper </w:t>
      </w:r>
      <w:r>
        <w:rPr>
          <w:sz w:val="20"/>
        </w:rPr>
        <w:t>ULTxPa</w:t>
      </w:r>
      <w:r>
        <w:rPr>
          <w:rFonts w:hint="eastAsia"/>
          <w:sz w:val="20"/>
        </w:rPr>
        <w:t>ra set for the power control parameters using the relation between TX beam resource and TX beam (group) in the configured ULTxPara set.</w:t>
      </w:r>
    </w:p>
    <w:p>
      <w:pPr>
        <w:pStyle w:val="71"/>
        <w:snapToGrid w:val="0"/>
        <w:spacing w:before="181" w:beforeLines="50" w:after="0" w:afterLines="0" w:line="240" w:lineRule="auto"/>
        <w:ind w:firstLine="0"/>
        <w:rPr>
          <w:sz w:val="20"/>
        </w:rPr>
      </w:pPr>
      <w:r>
        <w:rPr>
          <w:rFonts w:hint="eastAsia"/>
          <w:sz w:val="20"/>
        </w:rPr>
        <w:t xml:space="preserve">UE maintains independent closed loop power adjustment f(i) for each </w:t>
      </w:r>
      <w:r>
        <w:rPr>
          <w:sz w:val="20"/>
        </w:rPr>
        <w:t>ULTxPa</w:t>
      </w:r>
      <w:r>
        <w:rPr>
          <w:rFonts w:hint="eastAsia"/>
          <w:sz w:val="20"/>
        </w:rPr>
        <w:t xml:space="preserve">ra set for each </w:t>
      </w:r>
      <w:r>
        <w:rPr>
          <w:sz w:val="20"/>
        </w:rPr>
        <w:t>ULTxPa</w:t>
      </w:r>
      <w:r>
        <w:rPr>
          <w:rFonts w:hint="eastAsia"/>
          <w:sz w:val="20"/>
        </w:rPr>
        <w:t>ra setting. gNB sends TPC command for each f(i) of the current transmission. For the same ULTxPara Set ID, SRS for CSI acquisition and PUSCH may share the same f(i).</w:t>
      </w:r>
    </w:p>
    <w:p>
      <w:pPr>
        <w:pStyle w:val="71"/>
        <w:snapToGrid w:val="0"/>
        <w:spacing w:before="180" w:beforeLines="50" w:after="0" w:line="240" w:lineRule="auto"/>
        <w:ind w:firstLine="0"/>
        <w:rPr>
          <w:sz w:val="20"/>
        </w:rPr>
      </w:pPr>
      <w:r>
        <w:rPr>
          <w:rFonts w:hint="eastAsia"/>
          <w:sz w:val="20"/>
        </w:rPr>
        <w:t xml:space="preserve">Reconfiguration of </w:t>
      </w:r>
      <w:r>
        <w:rPr>
          <w:sz w:val="20"/>
        </w:rPr>
        <w:t>ULTxPa</w:t>
      </w:r>
      <w:r>
        <w:rPr>
          <w:rFonts w:hint="eastAsia"/>
          <w:sz w:val="20"/>
        </w:rPr>
        <w:t xml:space="preserve">ra setting or </w:t>
      </w:r>
      <w:r>
        <w:rPr>
          <w:sz w:val="20"/>
        </w:rPr>
        <w:t>ULTxPa</w:t>
      </w:r>
      <w:r>
        <w:rPr>
          <w:rFonts w:hint="eastAsia"/>
          <w:sz w:val="20"/>
        </w:rPr>
        <w:t>ra set will cause the related f(i) to be reset. gNB could use P0 to compensate the changing of f(i) during reset if f(i) is supposed to inherit the history value in some cases, such as beam change in a narrow range.</w:t>
      </w:r>
    </w:p>
    <w:p>
      <w:pPr>
        <w:pStyle w:val="71"/>
        <w:snapToGrid w:val="0"/>
        <w:spacing w:before="180" w:beforeLines="50" w:after="0" w:line="240" w:lineRule="auto"/>
        <w:ind w:firstLine="0"/>
        <w:rPr>
          <w:i/>
          <w:iCs/>
          <w:sz w:val="20"/>
        </w:rPr>
      </w:pPr>
      <w:r>
        <w:rPr>
          <w:rFonts w:hint="eastAsia"/>
          <w:b/>
          <w:bCs/>
          <w:i/>
          <w:iCs/>
          <w:sz w:val="20"/>
        </w:rPr>
        <w:t>Proposal 2</w:t>
      </w:r>
      <w:r>
        <w:rPr>
          <w:rFonts w:hint="eastAsia"/>
          <w:i/>
          <w:iCs/>
          <w:sz w:val="20"/>
        </w:rPr>
        <w:t>: support the power control framework as follows:</w:t>
      </w:r>
    </w:p>
    <w:p>
      <w:pPr>
        <w:pStyle w:val="71"/>
        <w:numPr>
          <w:ilvl w:val="0"/>
          <w:numId w:val="8"/>
        </w:numPr>
        <w:snapToGrid w:val="0"/>
        <w:spacing w:before="180" w:beforeLines="50" w:after="0" w:line="240" w:lineRule="auto"/>
        <w:rPr>
          <w:sz w:val="20"/>
        </w:rPr>
      </w:pPr>
      <w:r>
        <w:rPr>
          <w:rFonts w:hint="eastAsia"/>
          <w:i/>
          <w:iCs/>
          <w:sz w:val="20"/>
        </w:rPr>
        <w:t xml:space="preserve">gNB configures one or more </w:t>
      </w:r>
      <w:r>
        <w:rPr>
          <w:i/>
          <w:iCs/>
          <w:sz w:val="20"/>
        </w:rPr>
        <w:t xml:space="preserve">UL </w:t>
      </w:r>
      <w:r>
        <w:rPr>
          <w:rFonts w:hint="eastAsia"/>
          <w:i/>
          <w:iCs/>
          <w:sz w:val="20"/>
        </w:rPr>
        <w:t>transmit paramete</w:t>
      </w:r>
      <w:r>
        <w:rPr>
          <w:i/>
          <w:iCs/>
          <w:sz w:val="20"/>
        </w:rPr>
        <w:t>r</w:t>
      </w:r>
      <w:r>
        <w:rPr>
          <w:rFonts w:hint="eastAsia"/>
          <w:i/>
          <w:iCs/>
          <w:sz w:val="20"/>
        </w:rPr>
        <w:t xml:space="preserve"> setting</w:t>
      </w:r>
      <w:r>
        <w:rPr>
          <w:i/>
          <w:iCs/>
          <w:sz w:val="20"/>
        </w:rPr>
        <w:t>s</w:t>
      </w:r>
      <w:r>
        <w:rPr>
          <w:rFonts w:hint="eastAsia"/>
          <w:i/>
          <w:iCs/>
          <w:sz w:val="20"/>
        </w:rPr>
        <w:t xml:space="preserve"> for a UE. Each </w:t>
      </w:r>
      <w:r>
        <w:rPr>
          <w:i/>
          <w:iCs/>
          <w:sz w:val="20"/>
        </w:rPr>
        <w:t>ULTxPa</w:t>
      </w:r>
      <w:r>
        <w:rPr>
          <w:rFonts w:hint="eastAsia"/>
          <w:i/>
          <w:iCs/>
          <w:sz w:val="20"/>
        </w:rPr>
        <w:t xml:space="preserve">ra setting includes at least one </w:t>
      </w:r>
      <w:r>
        <w:rPr>
          <w:i/>
          <w:iCs/>
          <w:sz w:val="20"/>
        </w:rPr>
        <w:t>ULTxPa</w:t>
      </w:r>
      <w:r>
        <w:rPr>
          <w:rFonts w:hint="eastAsia"/>
          <w:i/>
          <w:iCs/>
          <w:sz w:val="20"/>
        </w:rPr>
        <w:t xml:space="preserve">ra set. </w:t>
      </w:r>
    </w:p>
    <w:p>
      <w:pPr>
        <w:pStyle w:val="71"/>
        <w:numPr>
          <w:ilvl w:val="1"/>
          <w:numId w:val="8"/>
        </w:numPr>
        <w:snapToGrid w:val="0"/>
        <w:spacing w:before="180" w:beforeLines="50" w:after="0" w:line="240" w:lineRule="auto"/>
        <w:rPr>
          <w:sz w:val="20"/>
        </w:rPr>
      </w:pPr>
      <w:r>
        <w:rPr>
          <w:rFonts w:hint="eastAsia"/>
          <w:i/>
          <w:iCs/>
          <w:sz w:val="20"/>
        </w:rPr>
        <w:t>Each ULTxPara setting is configured for a channel or signal, or for a specific configuration, such as traffic, etc..</w:t>
      </w:r>
    </w:p>
    <w:p>
      <w:pPr>
        <w:pStyle w:val="71"/>
        <w:numPr>
          <w:ilvl w:val="1"/>
          <w:numId w:val="8"/>
        </w:numPr>
        <w:snapToGrid w:val="0"/>
        <w:spacing w:before="180" w:beforeLines="50" w:after="0" w:line="240" w:lineRule="auto"/>
        <w:rPr>
          <w:sz w:val="20"/>
        </w:rPr>
      </w:pPr>
      <w:r>
        <w:rPr>
          <w:rFonts w:hint="eastAsia"/>
          <w:i/>
          <w:iCs/>
          <w:sz w:val="20"/>
        </w:rPr>
        <w:t xml:space="preserve">Each </w:t>
      </w:r>
      <w:r>
        <w:rPr>
          <w:i/>
          <w:iCs/>
          <w:sz w:val="20"/>
        </w:rPr>
        <w:t>ULTxPa</w:t>
      </w:r>
      <w:r>
        <w:rPr>
          <w:rFonts w:hint="eastAsia"/>
          <w:i/>
          <w:iCs/>
          <w:sz w:val="20"/>
        </w:rPr>
        <w:t>ra set is associated with one power control loop.</w:t>
      </w:r>
    </w:p>
    <w:p>
      <w:pPr>
        <w:pStyle w:val="71"/>
        <w:numPr>
          <w:ilvl w:val="0"/>
          <w:numId w:val="8"/>
        </w:numPr>
        <w:snapToGrid w:val="0"/>
        <w:spacing w:before="180" w:beforeLines="50" w:after="0" w:line="240" w:lineRule="auto"/>
        <w:rPr>
          <w:sz w:val="20"/>
        </w:rPr>
      </w:pPr>
      <w:r>
        <w:rPr>
          <w:rFonts w:hint="eastAsia"/>
          <w:i/>
          <w:iCs/>
          <w:sz w:val="20"/>
        </w:rPr>
        <w:t>TX beam (group)</w:t>
      </w:r>
      <w:r>
        <w:rPr>
          <w:rFonts w:hint="eastAsia"/>
          <w:i/>
          <w:iCs/>
          <w:sz w:val="20"/>
          <w:lang w:val="en-US" w:eastAsia="zh-CN"/>
        </w:rPr>
        <w:t xml:space="preserve"> indication,</w:t>
      </w:r>
      <w:r>
        <w:rPr>
          <w:rFonts w:hint="eastAsia"/>
          <w:i/>
          <w:iCs/>
          <w:sz w:val="20"/>
        </w:rPr>
        <w:t xml:space="preserve"> P0 UE specific part</w:t>
      </w:r>
      <w:r>
        <w:rPr>
          <w:rFonts w:hint="eastAsia"/>
          <w:i/>
          <w:iCs/>
          <w:sz w:val="20"/>
          <w:lang w:val="en-US" w:eastAsia="zh-CN"/>
        </w:rPr>
        <w:t xml:space="preserve"> and </w:t>
      </w:r>
      <w:r>
        <w:rPr>
          <w:rFonts w:hint="eastAsia"/>
          <w:i/>
          <w:iCs/>
          <w:sz w:val="20"/>
        </w:rPr>
        <w:t xml:space="preserve">PL configuration </w:t>
      </w:r>
      <w:r>
        <w:rPr>
          <w:rFonts w:hint="eastAsia"/>
          <w:i/>
          <w:iCs/>
          <w:sz w:val="20"/>
          <w:lang w:val="en-US" w:eastAsia="zh-CN"/>
        </w:rPr>
        <w:t>should be configured per</w:t>
      </w:r>
      <w:r>
        <w:rPr>
          <w:rFonts w:hint="eastAsia"/>
          <w:i/>
          <w:iCs/>
          <w:sz w:val="20"/>
        </w:rPr>
        <w:t xml:space="preserve"> power control loop</w:t>
      </w:r>
      <w:r>
        <w:rPr>
          <w:rFonts w:hint="eastAsia"/>
          <w:i/>
          <w:iCs/>
          <w:sz w:val="20"/>
          <w:lang w:val="en-US" w:eastAsia="zh-CN"/>
        </w:rPr>
        <w:t xml:space="preserve">, e.g. per </w:t>
      </w:r>
      <w:r>
        <w:rPr>
          <w:i/>
          <w:iCs/>
          <w:sz w:val="20"/>
        </w:rPr>
        <w:t>ULTxPa</w:t>
      </w:r>
      <w:r>
        <w:rPr>
          <w:rFonts w:hint="eastAsia"/>
          <w:i/>
          <w:iCs/>
          <w:sz w:val="20"/>
        </w:rPr>
        <w:t>ra set</w:t>
      </w:r>
      <w:r>
        <w:rPr>
          <w:rFonts w:hint="eastAsia"/>
          <w:i/>
          <w:iCs/>
          <w:sz w:val="20"/>
          <w:lang w:val="en-US" w:eastAsia="zh-CN"/>
        </w:rPr>
        <w:t>.</w:t>
      </w:r>
    </w:p>
    <w:p>
      <w:pPr>
        <w:pStyle w:val="71"/>
        <w:numPr>
          <w:ilvl w:val="0"/>
          <w:numId w:val="8"/>
        </w:numPr>
        <w:snapToGrid w:val="0"/>
        <w:spacing w:before="180" w:beforeLines="50" w:after="0" w:line="240" w:lineRule="auto"/>
        <w:rPr>
          <w:i/>
          <w:iCs/>
          <w:sz w:val="20"/>
        </w:rPr>
      </w:pPr>
      <w:r>
        <w:rPr>
          <w:rFonts w:hint="eastAsia"/>
          <w:i/>
          <w:iCs/>
          <w:sz w:val="20"/>
          <w:lang w:val="en-US" w:eastAsia="zh-CN"/>
        </w:rPr>
        <w:t xml:space="preserve">Alpha could be configured per power control loop, e.g. per ULTxPara set </w:t>
      </w:r>
    </w:p>
    <w:p>
      <w:pPr>
        <w:pStyle w:val="71"/>
        <w:numPr>
          <w:ilvl w:val="0"/>
          <w:numId w:val="8"/>
        </w:numPr>
        <w:snapToGrid w:val="0"/>
        <w:spacing w:before="180" w:beforeLines="50" w:after="0" w:line="240" w:lineRule="auto"/>
        <w:rPr>
          <w:sz w:val="20"/>
        </w:rPr>
      </w:pPr>
      <w:r>
        <w:rPr>
          <w:rFonts w:hint="eastAsia"/>
          <w:i/>
          <w:iCs/>
          <w:sz w:val="20"/>
        </w:rPr>
        <w:t>Upon receiving</w:t>
      </w:r>
      <w:r>
        <w:rPr>
          <w:i/>
          <w:iCs/>
          <w:sz w:val="20"/>
        </w:rPr>
        <w:t xml:space="preserve"> RRC re-configuration of</w:t>
      </w:r>
      <w:r>
        <w:rPr>
          <w:rFonts w:hint="eastAsia"/>
          <w:i/>
          <w:iCs/>
          <w:sz w:val="20"/>
        </w:rPr>
        <w:t xml:space="preserve"> ULTxPara set, UE needs to reset the relevant f(i).</w:t>
      </w:r>
    </w:p>
    <w:p>
      <w:pPr>
        <w:pStyle w:val="3"/>
        <w:widowControl w:val="0"/>
        <w:tabs>
          <w:tab w:val="left" w:pos="3686"/>
          <w:tab w:val="left" w:pos="4536"/>
        </w:tabs>
        <w:snapToGrid w:val="0"/>
        <w:spacing w:before="180" w:beforeLines="50" w:beforeAutospacing="0" w:after="0" w:afterAutospacing="0" w:line="240" w:lineRule="auto"/>
        <w:jc w:val="both"/>
        <w:rPr>
          <w:rFonts w:ascii="Arial Unicode MS" w:hAnsi="Arial Unicode MS" w:eastAsia="Arial Unicode MS" w:cs="Arial Unicode MS"/>
          <w:lang w:val="sv-SE"/>
        </w:rPr>
      </w:pPr>
      <w:r>
        <w:rPr>
          <w:rFonts w:hint="eastAsia" w:ascii="Arial Unicode MS" w:hAnsi="Arial Unicode MS" w:eastAsia="Arial Unicode MS" w:cs="Arial Unicode MS"/>
          <w:lang w:val="sv-SE"/>
        </w:rPr>
        <w:t>Beam specific PHR</w:t>
      </w:r>
    </w:p>
    <w:p>
      <w:pPr>
        <w:snapToGrid w:val="0"/>
        <w:spacing w:before="180" w:beforeLines="50"/>
        <w:jc w:val="both"/>
      </w:pPr>
      <w:r>
        <w:rPr>
          <w:lang w:val="en-GB"/>
        </w:rPr>
        <w:t>B</w:t>
      </w:r>
      <w:r>
        <w:rPr>
          <w:rFonts w:hint="eastAsia"/>
          <w:lang w:val="en-GB"/>
        </w:rPr>
        <w:t>eam specific power control is supported in NR as baseline, parameters</w:t>
      </w:r>
      <w:r>
        <w:rPr>
          <w:rFonts w:hint="eastAsia"/>
        </w:rPr>
        <w:t xml:space="preserve"> such as </w:t>
      </w:r>
      <w:r>
        <w:rPr>
          <w:rFonts w:hint="eastAsia"/>
          <w:i/>
          <w:iCs/>
        </w:rPr>
        <w:t>PL</w:t>
      </w:r>
      <w:r>
        <w:rPr>
          <w:rFonts w:hint="eastAsia"/>
        </w:rPr>
        <w:t xml:space="preserve">, </w:t>
      </w:r>
      <w:r>
        <w:rPr>
          <w:rFonts w:hint="eastAsia"/>
          <w:i/>
          <w:iCs/>
        </w:rPr>
        <w:t>P0</w:t>
      </w:r>
      <w:r>
        <w:rPr>
          <w:rFonts w:hint="eastAsia"/>
        </w:rPr>
        <w:t xml:space="preserve">, </w:t>
      </w:r>
      <w:r>
        <w:rPr>
          <w:rFonts w:hint="eastAsia"/>
          <w:i/>
          <w:iCs/>
        </w:rPr>
        <w:t>f(i)</w:t>
      </w:r>
      <w:r>
        <w:rPr>
          <w:rFonts w:hint="eastAsia"/>
          <w:lang w:val="en-GB"/>
        </w:rPr>
        <w:t xml:space="preserve"> </w:t>
      </w:r>
      <w:r>
        <w:rPr>
          <w:rFonts w:hint="eastAsia"/>
        </w:rPr>
        <w:t xml:space="preserve">should </w:t>
      </w:r>
      <w:r>
        <w:rPr>
          <w:rFonts w:hint="eastAsia"/>
          <w:lang w:val="en-GB"/>
        </w:rPr>
        <w:t xml:space="preserve">be beam specific. PHR is not a direct parameter for UL power calculation but </w:t>
      </w:r>
      <w:r>
        <w:t>can</w:t>
      </w:r>
      <w:r>
        <w:rPr>
          <w:rFonts w:hint="eastAsia"/>
        </w:rPr>
        <w:t xml:space="preserve"> </w:t>
      </w:r>
      <w:r>
        <w:t>affect</w:t>
      </w:r>
      <w:r>
        <w:rPr>
          <w:rFonts w:hint="eastAsia"/>
        </w:rPr>
        <w:t xml:space="preserve"> </w:t>
      </w:r>
      <w:r>
        <w:rPr>
          <w:rFonts w:hint="eastAsia"/>
          <w:lang w:val="en-GB"/>
        </w:rPr>
        <w:t xml:space="preserve">gNB when it decides TPC command which may be beam specific. </w:t>
      </w:r>
      <w:r>
        <w:rPr>
          <w:lang w:val="en-GB"/>
        </w:rPr>
        <w:t>F</w:t>
      </w:r>
      <w:r>
        <w:rPr>
          <w:rFonts w:hint="eastAsia"/>
          <w:lang w:val="en-GB"/>
        </w:rPr>
        <w:t>rom this perspective, beam specific PHR seems beneficial for accurate power control.</w:t>
      </w:r>
      <w:r>
        <w:rPr>
          <w:rFonts w:hint="eastAsia"/>
        </w:rPr>
        <w:t xml:space="preserve"> In LTE, there are 3 types of PHR considering different combination of PUSCH, PUCCH and SRS. For each CC (component carrier) only one PHR process exists which means UE needs to maintain one state machine for all the trigger conditions. In NR, different beam groups should be seen as different objects, so multiple PHR processes may be needed for one CC. </w:t>
      </w:r>
      <w:r>
        <w:t>P</w:t>
      </w:r>
      <w:r>
        <w:rPr>
          <w:rFonts w:hint="eastAsia"/>
        </w:rPr>
        <w:t>ower control framework should also consider how to support beam specific PHR.</w:t>
      </w:r>
    </w:p>
    <w:p>
      <w:pPr>
        <w:snapToGrid w:val="0"/>
        <w:spacing w:before="180" w:beforeLines="50"/>
      </w:pPr>
      <w:r>
        <w:rPr>
          <w:rFonts w:hint="eastAsia"/>
        </w:rPr>
        <w:t>gNB configures PHR setting via RRC signal, which includes the following information.</w:t>
      </w:r>
    </w:p>
    <w:p>
      <w:pPr>
        <w:pStyle w:val="71"/>
        <w:numPr>
          <w:ilvl w:val="0"/>
          <w:numId w:val="9"/>
        </w:numPr>
        <w:snapToGrid w:val="0"/>
        <w:spacing w:before="180" w:beforeLines="50" w:after="0" w:line="240" w:lineRule="auto"/>
        <w:rPr>
          <w:sz w:val="20"/>
        </w:rPr>
      </w:pPr>
      <w:r>
        <w:rPr>
          <w:rFonts w:hint="eastAsia"/>
          <w:sz w:val="20"/>
        </w:rPr>
        <w:t xml:space="preserve">Timers, similar to LTE, including timers such as </w:t>
      </w:r>
      <w:r>
        <w:rPr>
          <w:rFonts w:hint="eastAsia"/>
          <w:i/>
          <w:iCs/>
          <w:sz w:val="20"/>
        </w:rPr>
        <w:t>periodicPHR-Timer</w:t>
      </w:r>
      <w:r>
        <w:rPr>
          <w:rFonts w:hint="eastAsia"/>
          <w:sz w:val="20"/>
        </w:rPr>
        <w:t xml:space="preserve"> and </w:t>
      </w:r>
      <w:r>
        <w:rPr>
          <w:rFonts w:hint="eastAsia"/>
          <w:i/>
          <w:iCs/>
          <w:sz w:val="20"/>
        </w:rPr>
        <w:t>prohibitPHR-Timer</w:t>
      </w:r>
      <w:r>
        <w:rPr>
          <w:rFonts w:hint="eastAsia"/>
          <w:sz w:val="20"/>
        </w:rPr>
        <w:t xml:space="preserve"> </w:t>
      </w:r>
    </w:p>
    <w:p>
      <w:pPr>
        <w:pStyle w:val="71"/>
        <w:numPr>
          <w:ilvl w:val="0"/>
          <w:numId w:val="9"/>
        </w:numPr>
        <w:snapToGrid w:val="0"/>
        <w:spacing w:before="180" w:beforeLines="50" w:after="0" w:line="240" w:lineRule="auto"/>
        <w:rPr>
          <w:sz w:val="20"/>
        </w:rPr>
      </w:pPr>
      <w:r>
        <w:rPr>
          <w:sz w:val="20"/>
        </w:rPr>
        <w:t>PL changing threshold</w:t>
      </w:r>
      <w:r>
        <w:rPr>
          <w:i/>
          <w:iCs/>
          <w:sz w:val="20"/>
        </w:rPr>
        <w:t xml:space="preserve">, </w:t>
      </w:r>
      <w:r>
        <w:rPr>
          <w:rFonts w:hint="eastAsia"/>
          <w:sz w:val="20"/>
        </w:rPr>
        <w:t>similar</w:t>
      </w:r>
      <w:r>
        <w:rPr>
          <w:sz w:val="20"/>
        </w:rPr>
        <w:t xml:space="preserve"> to </w:t>
      </w:r>
      <w:r>
        <w:rPr>
          <w:rFonts w:hint="eastAsia"/>
          <w:i/>
          <w:iCs/>
          <w:sz w:val="20"/>
        </w:rPr>
        <w:t>dl-PathlossChange</w:t>
      </w:r>
      <w:r>
        <w:rPr>
          <w:rFonts w:hint="eastAsia"/>
          <w:sz w:val="20"/>
        </w:rPr>
        <w:t xml:space="preserve"> in LTE</w:t>
      </w:r>
    </w:p>
    <w:p>
      <w:pPr>
        <w:pStyle w:val="71"/>
        <w:numPr>
          <w:ilvl w:val="0"/>
          <w:numId w:val="9"/>
        </w:numPr>
        <w:snapToGrid w:val="0"/>
        <w:spacing w:before="180" w:beforeLines="50" w:after="0" w:line="240" w:lineRule="auto"/>
        <w:rPr>
          <w:sz w:val="20"/>
        </w:rPr>
      </w:pPr>
      <w:r>
        <w:rPr>
          <w:rFonts w:hint="eastAsia"/>
          <w:sz w:val="20"/>
        </w:rPr>
        <w:t xml:space="preserve">PHR process </w:t>
      </w:r>
      <w:r>
        <w:rPr>
          <w:sz w:val="20"/>
        </w:rPr>
        <w:t>indicat</w:t>
      </w:r>
      <w:r>
        <w:rPr>
          <w:rFonts w:hint="eastAsia"/>
          <w:sz w:val="20"/>
        </w:rPr>
        <w:t>ion, e.g. indicated by ULTxPara setting or ULTxPara set(s)</w:t>
      </w:r>
    </w:p>
    <w:p>
      <w:pPr>
        <w:snapToGrid w:val="0"/>
        <w:spacing w:before="180" w:beforeLines="50"/>
        <w:jc w:val="both"/>
      </w:pPr>
      <w:r>
        <w:rPr>
          <w:rFonts w:hint="eastAsia"/>
        </w:rPr>
        <w:t xml:space="preserve">UE maintains one PHR process for all the TX beams indicated by the PHR process </w:t>
      </w:r>
      <w:r>
        <w:t>indicat</w:t>
      </w:r>
      <w:r>
        <w:rPr>
          <w:rFonts w:hint="eastAsia"/>
        </w:rPr>
        <w:t>ion. gNB could configure more than one PHR setting to support multiple PHR processes if necessary.</w:t>
      </w:r>
    </w:p>
    <w:p>
      <w:pPr>
        <w:adjustRightInd w:val="0"/>
        <w:snapToGrid w:val="0"/>
        <w:spacing w:before="180" w:beforeLines="50"/>
        <w:jc w:val="both"/>
        <w:rPr>
          <w:b/>
          <w:bCs/>
          <w:i/>
          <w:iCs/>
        </w:rPr>
      </w:pPr>
      <w:r>
        <w:rPr>
          <w:rFonts w:hint="eastAsia"/>
          <w:b/>
          <w:bCs/>
          <w:i/>
          <w:iCs/>
        </w:rPr>
        <w:t>PHR calculation:</w:t>
      </w:r>
    </w:p>
    <w:p>
      <w:pPr>
        <w:adjustRightInd w:val="0"/>
        <w:snapToGrid w:val="0"/>
        <w:spacing w:before="180" w:beforeLines="50"/>
        <w:jc w:val="both"/>
      </w:pPr>
      <w:r>
        <w:rPr>
          <w:rFonts w:hint="eastAsia"/>
        </w:rPr>
        <w:t>Different from LTE, NR may have multiple beam pairs for UL transmission which means there might be more than one BPL to be monitored. Basically, if a UL transmission is scheduled on more than one TX beam at the same time, the PHR should be considered as one power headroom calculation for the total transmit power of all these TX beams.</w:t>
      </w:r>
    </w:p>
    <w:p>
      <w:pPr>
        <w:adjustRightInd w:val="0"/>
        <w:snapToGrid w:val="0"/>
        <w:spacing w:before="180" w:beforeLines="50"/>
        <w:ind w:left="0" w:leftChars="0"/>
        <w:jc w:val="both"/>
      </w:pPr>
      <w:r>
        <w:rPr>
          <w:rFonts w:hint="eastAsia"/>
        </w:rPr>
        <w:t>For instance, if a PHR process includes M TX beams, P</w:t>
      </w:r>
      <w:r>
        <w:rPr>
          <w:rFonts w:hint="eastAsia"/>
          <w:vertAlign w:val="subscript"/>
        </w:rPr>
        <w:t>m</w:t>
      </w:r>
      <w:r>
        <w:rPr>
          <w:rFonts w:hint="eastAsia"/>
        </w:rPr>
        <w:t xml:space="preserve"> is the transmit power of the m</w:t>
      </w:r>
      <w:r>
        <w:rPr>
          <w:rFonts w:hint="eastAsia"/>
          <w:vertAlign w:val="superscript"/>
        </w:rPr>
        <w:t>th</w:t>
      </w:r>
      <w:r>
        <w:rPr>
          <w:rFonts w:hint="eastAsia"/>
        </w:rPr>
        <w:t xml:space="preserve"> TX beam, where m is an integer from 1 to M. UE calculates the PH as follows:</w:t>
      </w:r>
    </w:p>
    <w:p>
      <w:pPr>
        <w:snapToGrid w:val="0"/>
        <w:spacing w:before="180" w:beforeLines="50"/>
        <w:ind w:left="400" w:leftChars="200"/>
        <w:jc w:val="right"/>
      </w:pPr>
      <w:r>
        <w:rPr>
          <w:rFonts w:hint="eastAsia"/>
          <w:position w:val="-28"/>
        </w:rPr>
        <w:object>
          <v:shape id="_x0000_i1031" o:spt="75" type="#_x0000_t75" style="height:34pt;width:98pt;" o:ole="t" filled="f" o:preferrelative="t" stroked="f" coordsize="21600,21600">
            <v:path/>
            <v:fill on="f" focussize="0,0"/>
            <v:stroke on="f" joinstyle="miter"/>
            <v:imagedata r:id="rId18" o:title=""/>
            <o:lock v:ext="edit" aspectratio="t"/>
            <w10:wrap type="none"/>
            <w10:anchorlock/>
          </v:shape>
          <o:OLEObject Type="Embed" ProgID="Equation.KSEE3" ShapeID="_x0000_i1031" DrawAspect="Content" ObjectID="_1468075731" r:id="rId17">
            <o:LockedField>false</o:LockedField>
          </o:OLEObject>
        </w:object>
      </w:r>
      <w:r>
        <w:t>,</w:t>
      </w:r>
      <w:r>
        <w:rPr>
          <w:rFonts w:hint="eastAsia"/>
          <w:lang w:val="en-US" w:eastAsia="zh-CN"/>
        </w:rPr>
        <w:tab/>
      </w:r>
      <w:r>
        <w:t>w</w:t>
      </w:r>
      <w:r>
        <w:rPr>
          <w:rFonts w:hint="eastAsia"/>
        </w:rPr>
        <w:t>here P</w:t>
      </w:r>
      <w:r>
        <w:rPr>
          <w:vertAlign w:val="subscript"/>
        </w:rPr>
        <w:t>CMAX</w:t>
      </w:r>
      <w:r>
        <w:rPr>
          <w:rFonts w:hint="eastAsia"/>
        </w:rPr>
        <w:t xml:space="preserve"> is the UE</w:t>
      </w:r>
      <w:r>
        <w:t>’</w:t>
      </w:r>
      <w:r>
        <w:rPr>
          <w:rFonts w:hint="eastAsia"/>
        </w:rPr>
        <w:t>s maximum transmit power.</w:t>
      </w:r>
    </w:p>
    <w:p>
      <w:pPr>
        <w:snapToGrid w:val="0"/>
        <w:spacing w:before="180" w:beforeLines="50"/>
        <w:jc w:val="both"/>
        <w:rPr>
          <w:b/>
          <w:bCs/>
          <w:i/>
          <w:iCs/>
        </w:rPr>
      </w:pPr>
      <w:r>
        <w:rPr>
          <w:rFonts w:hint="eastAsia"/>
          <w:b/>
          <w:bCs/>
          <w:i/>
          <w:iCs/>
        </w:rPr>
        <w:t>Trigger condition:</w:t>
      </w:r>
    </w:p>
    <w:p>
      <w:pPr>
        <w:adjustRightInd w:val="0"/>
        <w:snapToGrid w:val="0"/>
        <w:spacing w:before="180" w:beforeLines="50"/>
        <w:jc w:val="both"/>
      </w:pPr>
      <w:r>
        <w:rPr>
          <w:rFonts w:hint="eastAsia"/>
        </w:rPr>
        <w:t xml:space="preserve">In LTE, PHR is triggered only if one of the trigger conditions is met. One of the conditions is related to the parameter of </w:t>
      </w:r>
      <w:r>
        <w:rPr>
          <w:rFonts w:hint="eastAsia"/>
          <w:i/>
          <w:iCs/>
        </w:rPr>
        <w:t xml:space="preserve">dl-PathlossChange. </w:t>
      </w:r>
      <w:r>
        <w:rPr>
          <w:rFonts w:hint="eastAsia"/>
        </w:rPr>
        <w:t xml:space="preserve">If the path loss has changed more than </w:t>
      </w:r>
      <w:r>
        <w:rPr>
          <w:rFonts w:hint="eastAsia"/>
          <w:i/>
          <w:iCs/>
        </w:rPr>
        <w:t>dl-PathlossChange</w:t>
      </w:r>
      <w:r>
        <w:rPr>
          <w:rFonts w:hint="eastAsia"/>
        </w:rPr>
        <w:t xml:space="preserve"> dB since the last transmission of a PHR</w:t>
      </w:r>
      <w:r>
        <w:t xml:space="preserve">, </w:t>
      </w:r>
      <w:r>
        <w:rPr>
          <w:rFonts w:hint="eastAsia"/>
        </w:rPr>
        <w:t>UE may need to trigger PHR. Considering multiple TX beams transmission in NR, there may be more than one BPL to be monitored. Since PHR is associated with the sum power of all beam pair links, PL changing should be evaluated in the same way which means PL changing should reflect the sum of all beam pair links</w:t>
      </w:r>
      <w:r>
        <w:t>’</w:t>
      </w:r>
      <w:r>
        <w:rPr>
          <w:rFonts w:hint="eastAsia"/>
        </w:rPr>
        <w:t xml:space="preserve"> PL changing. </w:t>
      </w:r>
    </w:p>
    <w:p>
      <w:pPr>
        <w:adjustRightInd w:val="0"/>
        <w:snapToGrid w:val="0"/>
        <w:spacing w:before="180" w:beforeLines="50"/>
        <w:ind w:left="0" w:leftChars="0"/>
        <w:jc w:val="both"/>
      </w:pPr>
      <w:r>
        <w:rPr>
          <w:rFonts w:hint="eastAsia"/>
        </w:rPr>
        <w:t xml:space="preserve">For instance, if a PHR process includes M TX beams, </w:t>
      </w:r>
      <w:r>
        <w:rPr>
          <w:rFonts w:hint="eastAsia"/>
          <w:i/>
          <w:iCs/>
        </w:rPr>
        <w:t>PL</w:t>
      </w:r>
      <w:r>
        <w:rPr>
          <w:rFonts w:hint="eastAsia"/>
          <w:i/>
          <w:iCs/>
          <w:vertAlign w:val="subscript"/>
        </w:rPr>
        <w:t>m</w:t>
      </w:r>
      <w:r>
        <w:rPr>
          <w:rFonts w:hint="eastAsia"/>
          <w:i/>
          <w:iCs/>
        </w:rPr>
        <w:t>(t)</w:t>
      </w:r>
      <w:r>
        <w:rPr>
          <w:rFonts w:hint="eastAsia"/>
        </w:rPr>
        <w:t xml:space="preserve"> is the pathloss value evaluated for the transmit power of the m</w:t>
      </w:r>
      <w:r>
        <w:rPr>
          <w:rFonts w:hint="eastAsia"/>
          <w:vertAlign w:val="superscript"/>
        </w:rPr>
        <w:t>th</w:t>
      </w:r>
      <w:r>
        <w:rPr>
          <w:rFonts w:hint="eastAsia"/>
        </w:rPr>
        <w:t xml:space="preserve"> TX beam at time </w:t>
      </w:r>
      <w:r>
        <w:rPr>
          <w:rFonts w:hint="eastAsia"/>
          <w:i/>
          <w:iCs/>
        </w:rPr>
        <w:t>t,</w:t>
      </w:r>
      <w:r>
        <w:rPr>
          <w:rFonts w:hint="eastAsia"/>
        </w:rPr>
        <w:t xml:space="preserve"> where m is an integer from 1 to M. Assuming the last PHR for the PHR process was sent at time t0, the PL changing at </w:t>
      </w:r>
      <w:r>
        <w:rPr>
          <w:rFonts w:hint="eastAsia"/>
          <w:i/>
          <w:iCs/>
        </w:rPr>
        <w:t>t1</w:t>
      </w:r>
      <w:r>
        <w:rPr>
          <w:rFonts w:hint="eastAsia"/>
        </w:rPr>
        <w:t xml:space="preserve"> should be estimated as:</w:t>
      </w:r>
    </w:p>
    <w:p>
      <w:pPr>
        <w:adjustRightInd w:val="0"/>
        <w:snapToGrid w:val="0"/>
        <w:spacing w:before="180" w:beforeLines="50"/>
        <w:ind w:left="400" w:leftChars="200"/>
        <w:jc w:val="center"/>
      </w:pPr>
      <w:r>
        <w:rPr>
          <w:rFonts w:hint="eastAsia"/>
          <w:position w:val="-28"/>
        </w:rPr>
        <w:object>
          <v:shape id="_x0000_i1032" o:spt="75" type="#_x0000_t75" style="height:34pt;width:108pt;" o:ole="t" filled="f" o:preferrelative="t" stroked="f" coordsize="21600,21600">
            <v:path/>
            <v:fill on="f" focussize="0,0"/>
            <v:stroke on="f" joinstyle="miter"/>
            <v:imagedata r:id="rId20" o:title=""/>
            <o:lock v:ext="edit" aspectratio="t"/>
            <w10:wrap type="none"/>
            <w10:anchorlock/>
          </v:shape>
          <o:OLEObject Type="Embed" ProgID="Equation.KSEE3" ShapeID="_x0000_i1032" DrawAspect="Content" ObjectID="_1468075732" r:id="rId19">
            <o:LockedField>false</o:LockedField>
          </o:OLEObject>
        </w:object>
      </w:r>
    </w:p>
    <w:p>
      <w:pPr>
        <w:adjustRightInd w:val="0"/>
        <w:snapToGrid w:val="0"/>
        <w:spacing w:before="180" w:beforeLines="50"/>
        <w:ind w:left="0" w:leftChars="0"/>
        <w:jc w:val="both"/>
      </w:pPr>
      <w:r>
        <w:rPr>
          <w:rFonts w:hint="eastAsia"/>
        </w:rPr>
        <w:t xml:space="preserve">If this PL changing is larger than </w:t>
      </w:r>
      <w:r>
        <w:rPr>
          <w:rFonts w:hint="eastAsia"/>
          <w:i/>
          <w:iCs/>
        </w:rPr>
        <w:t>PathlossChange</w:t>
      </w:r>
      <w:r>
        <w:rPr>
          <w:rFonts w:hint="eastAsia"/>
        </w:rPr>
        <w:t>, UE should check other companion conditions such as timers to trigger PHR.</w:t>
      </w:r>
    </w:p>
    <w:p>
      <w:pPr>
        <w:adjustRightInd w:val="0"/>
        <w:snapToGrid w:val="0"/>
        <w:spacing w:before="180" w:beforeLines="50"/>
        <w:jc w:val="both"/>
        <w:rPr>
          <w:i/>
          <w:iCs/>
        </w:rPr>
      </w:pPr>
      <w:r>
        <w:rPr>
          <w:rFonts w:hint="eastAsia" w:eastAsia="宋体"/>
          <w:b/>
          <w:i/>
          <w:szCs w:val="20"/>
          <w:lang w:val="en-GB"/>
        </w:rPr>
        <w:t xml:space="preserve">Proposal </w:t>
      </w:r>
      <w:r>
        <w:rPr>
          <w:rFonts w:hint="eastAsia" w:eastAsia="宋体"/>
          <w:b/>
          <w:i/>
          <w:szCs w:val="20"/>
        </w:rPr>
        <w:t>3</w:t>
      </w:r>
      <w:r>
        <w:rPr>
          <w:rFonts w:eastAsia="宋体"/>
          <w:b/>
          <w:i/>
          <w:szCs w:val="20"/>
          <w:lang w:val="en-GB"/>
        </w:rPr>
        <w:t>:</w:t>
      </w:r>
      <w:r>
        <w:rPr>
          <w:rFonts w:hint="eastAsia" w:eastAsia="宋体"/>
          <w:b/>
          <w:i/>
          <w:szCs w:val="20"/>
          <w:lang w:val="en-GB"/>
        </w:rPr>
        <w:t xml:space="preserve"> </w:t>
      </w:r>
      <w:r>
        <w:rPr>
          <w:rFonts w:hint="eastAsia" w:eastAsia="宋体"/>
          <w:bCs/>
          <w:i/>
          <w:szCs w:val="20"/>
        </w:rPr>
        <w:t xml:space="preserve">for multiple TX beams transmission, PHR should </w:t>
      </w:r>
      <w:r>
        <w:rPr>
          <w:rFonts w:hint="eastAsia"/>
          <w:i/>
          <w:iCs/>
        </w:rPr>
        <w:t>reflect the headroom of the sum of all related beam pair links</w:t>
      </w:r>
      <w:r>
        <w:rPr>
          <w:i/>
          <w:iCs/>
        </w:rPr>
        <w:t>’</w:t>
      </w:r>
      <w:r>
        <w:rPr>
          <w:rFonts w:hint="eastAsia"/>
          <w:i/>
          <w:iCs/>
        </w:rPr>
        <w:t xml:space="preserve"> individual power, the PHR trigger condition of PL changing should reflect the sum of all related beam pair links</w:t>
      </w:r>
      <w:r>
        <w:rPr>
          <w:i/>
          <w:iCs/>
        </w:rPr>
        <w:t>’</w:t>
      </w:r>
      <w:r>
        <w:rPr>
          <w:rFonts w:hint="eastAsia"/>
          <w:i/>
          <w:iCs/>
        </w:rPr>
        <w:t xml:space="preserve"> PL changing.</w:t>
      </w:r>
    </w:p>
    <w:p>
      <w:pPr>
        <w:adjustRightInd w:val="0"/>
        <w:snapToGrid w:val="0"/>
        <w:spacing w:before="180" w:beforeLines="50"/>
        <w:jc w:val="both"/>
        <w:rPr>
          <w:szCs w:val="20"/>
        </w:rPr>
      </w:pPr>
      <w:r>
        <w:rPr>
          <w:rFonts w:hint="eastAsia"/>
          <w:szCs w:val="20"/>
        </w:rPr>
        <w:t xml:space="preserve">In LTE, UE needs to calculate PHR when there is no real transmission, also </w:t>
      </w:r>
      <w:r>
        <w:rPr>
          <w:szCs w:val="20"/>
        </w:rPr>
        <w:t>referred</w:t>
      </w:r>
      <w:r>
        <w:rPr>
          <w:rFonts w:hint="eastAsia"/>
          <w:szCs w:val="20"/>
        </w:rPr>
        <w:t xml:space="preserve"> as virtual PHR. In NR, things are more complicated due to support of multi-beam, two waveforms.</w:t>
      </w:r>
    </w:p>
    <w:p>
      <w:pPr>
        <w:numPr>
          <w:ilvl w:val="0"/>
          <w:numId w:val="10"/>
        </w:numPr>
        <w:adjustRightInd w:val="0"/>
        <w:snapToGrid w:val="0"/>
        <w:spacing w:before="180" w:beforeLines="50"/>
        <w:jc w:val="both"/>
        <w:rPr>
          <w:szCs w:val="20"/>
        </w:rPr>
      </w:pPr>
      <w:r>
        <w:rPr>
          <w:rFonts w:hint="eastAsia"/>
          <w:szCs w:val="20"/>
        </w:rPr>
        <w:t>For multi-beam,</w:t>
      </w:r>
    </w:p>
    <w:p>
      <w:pPr>
        <w:numPr>
          <w:ilvl w:val="1"/>
          <w:numId w:val="10"/>
        </w:numPr>
        <w:adjustRightInd w:val="0"/>
        <w:snapToGrid w:val="0"/>
        <w:spacing w:before="180" w:beforeLines="50"/>
        <w:jc w:val="both"/>
        <w:rPr>
          <w:szCs w:val="20"/>
        </w:rPr>
      </w:pPr>
      <w:r>
        <w:rPr>
          <w:rFonts w:hint="eastAsia"/>
          <w:szCs w:val="20"/>
        </w:rPr>
        <w:t>Virtual PHR should be supported in NR based on PHR setting. If there are no transmissions on part or all of the TX beams, virtual transmission on these TX beams should be assumed just like LTE.</w:t>
      </w:r>
    </w:p>
    <w:p>
      <w:pPr>
        <w:numPr>
          <w:ilvl w:val="1"/>
          <w:numId w:val="10"/>
        </w:numPr>
        <w:adjustRightInd w:val="0"/>
        <w:snapToGrid w:val="0"/>
        <w:spacing w:before="180" w:beforeLines="50"/>
        <w:jc w:val="both"/>
        <w:rPr>
          <w:szCs w:val="20"/>
        </w:rPr>
      </w:pPr>
      <w:r>
        <w:rPr>
          <w:rFonts w:hint="eastAsia"/>
          <w:szCs w:val="20"/>
        </w:rPr>
        <w:t>Virtual PHR shares the same PHR setting as real PHR.</w:t>
      </w:r>
    </w:p>
    <w:p>
      <w:pPr>
        <w:numPr>
          <w:ilvl w:val="0"/>
          <w:numId w:val="10"/>
        </w:numPr>
        <w:adjustRightInd w:val="0"/>
        <w:snapToGrid w:val="0"/>
        <w:spacing w:before="180" w:beforeLines="50"/>
        <w:jc w:val="both"/>
        <w:rPr>
          <w:szCs w:val="20"/>
        </w:rPr>
      </w:pPr>
      <w:r>
        <w:rPr>
          <w:rFonts w:hint="eastAsia"/>
          <w:szCs w:val="20"/>
        </w:rPr>
        <w:t xml:space="preserve">For two waveforms, </w:t>
      </w:r>
    </w:p>
    <w:p>
      <w:pPr>
        <w:numPr>
          <w:ilvl w:val="1"/>
          <w:numId w:val="10"/>
        </w:numPr>
        <w:adjustRightInd w:val="0"/>
        <w:snapToGrid w:val="0"/>
        <w:spacing w:before="180" w:beforeLines="50"/>
        <w:jc w:val="both"/>
        <w:rPr>
          <w:szCs w:val="20"/>
        </w:rPr>
      </w:pPr>
      <w:r>
        <w:rPr>
          <w:rFonts w:hint="eastAsia"/>
          <w:szCs w:val="20"/>
        </w:rPr>
        <w:t xml:space="preserve">Virtual PHR should be supported based on the waveform of the </w:t>
      </w:r>
      <w:r>
        <w:rPr>
          <w:szCs w:val="20"/>
        </w:rPr>
        <w:t>previous</w:t>
      </w:r>
      <w:r>
        <w:rPr>
          <w:rFonts w:hint="eastAsia"/>
          <w:szCs w:val="20"/>
        </w:rPr>
        <w:t xml:space="preserve"> transmission, because </w:t>
      </w:r>
      <w:r>
        <w:rPr>
          <w:szCs w:val="20"/>
        </w:rPr>
        <w:t xml:space="preserve">UE tends to keep its waveform </w:t>
      </w:r>
      <w:r>
        <w:rPr>
          <w:rFonts w:hint="eastAsia"/>
          <w:szCs w:val="20"/>
        </w:rPr>
        <w:t xml:space="preserve">for a long period. </w:t>
      </w:r>
    </w:p>
    <w:p>
      <w:pPr>
        <w:pStyle w:val="71"/>
        <w:adjustRightInd w:val="0"/>
        <w:snapToGrid w:val="0"/>
        <w:spacing w:before="180" w:beforeLines="50" w:after="0" w:line="240" w:lineRule="auto"/>
        <w:ind w:firstLine="0"/>
        <w:rPr>
          <w:i/>
          <w:iCs/>
        </w:rPr>
      </w:pPr>
      <w:r>
        <w:rPr>
          <w:rFonts w:hint="eastAsia"/>
          <w:b/>
          <w:bCs/>
          <w:i/>
          <w:iCs/>
        </w:rPr>
        <w:t>Proposal 4</w:t>
      </w:r>
      <w:r>
        <w:rPr>
          <w:rFonts w:hint="eastAsia"/>
          <w:i/>
          <w:iCs/>
        </w:rPr>
        <w:t xml:space="preserve">: </w:t>
      </w:r>
      <w:r>
        <w:rPr>
          <w:i/>
          <w:iCs/>
        </w:rPr>
        <w:t>F</w:t>
      </w:r>
      <w:r>
        <w:rPr>
          <w:rFonts w:hint="eastAsia"/>
          <w:i/>
          <w:iCs/>
        </w:rPr>
        <w:t>or virtual PHR in NR,</w:t>
      </w:r>
    </w:p>
    <w:p>
      <w:pPr>
        <w:numPr>
          <w:ilvl w:val="1"/>
          <w:numId w:val="11"/>
        </w:numPr>
        <w:tabs>
          <w:tab w:val="left" w:pos="840"/>
        </w:tabs>
        <w:adjustRightInd w:val="0"/>
        <w:ind w:left="1500" w:hanging="360"/>
        <w:rPr>
          <w:i/>
          <w:szCs w:val="20"/>
        </w:rPr>
      </w:pPr>
      <w:r>
        <w:rPr>
          <w:rFonts w:hint="eastAsia"/>
          <w:i/>
          <w:szCs w:val="20"/>
        </w:rPr>
        <w:t>Virtual PHR shares the same PHR setting as real PHR</w:t>
      </w:r>
    </w:p>
    <w:p>
      <w:pPr>
        <w:numPr>
          <w:ilvl w:val="1"/>
          <w:numId w:val="11"/>
        </w:numPr>
        <w:tabs>
          <w:tab w:val="left" w:pos="840"/>
        </w:tabs>
        <w:adjustRightInd w:val="0"/>
        <w:ind w:left="1500" w:hanging="360"/>
        <w:rPr>
          <w:i/>
          <w:szCs w:val="20"/>
        </w:rPr>
      </w:pPr>
      <w:r>
        <w:rPr>
          <w:rFonts w:hint="eastAsia"/>
          <w:i/>
          <w:szCs w:val="20"/>
        </w:rPr>
        <w:t xml:space="preserve">Virtual PHR should be supported in NR based on the waveform of the previous transmission; </w:t>
      </w:r>
    </w:p>
    <w:p>
      <w:pPr>
        <w:pStyle w:val="3"/>
        <w:widowControl w:val="0"/>
        <w:tabs>
          <w:tab w:val="left" w:pos="3686"/>
          <w:tab w:val="left" w:pos="4536"/>
        </w:tabs>
        <w:adjustRightInd w:val="0"/>
        <w:snapToGrid w:val="0"/>
        <w:spacing w:before="180" w:beforeLines="50" w:beforeAutospacing="0" w:after="0" w:afterAutospacing="0" w:line="240" w:lineRule="auto"/>
        <w:jc w:val="both"/>
        <w:rPr>
          <w:rFonts w:ascii="Arial Unicode MS" w:hAnsi="Arial Unicode MS" w:eastAsia="Arial Unicode MS" w:cs="Arial Unicode MS"/>
          <w:lang w:val="sv-SE"/>
        </w:rPr>
      </w:pPr>
      <w:r>
        <w:rPr>
          <w:rFonts w:hint="eastAsia" w:ascii="Arial Unicode MS" w:hAnsi="Arial Unicode MS" w:eastAsia="Arial Unicode MS" w:cs="Arial Unicode MS"/>
          <w:lang w:val="sv-SE"/>
        </w:rPr>
        <w:t>PC for SRS</w:t>
      </w:r>
    </w:p>
    <w:p>
      <w:pPr>
        <w:adjustRightInd w:val="0"/>
        <w:snapToGrid w:val="0"/>
        <w:spacing w:before="180" w:beforeLines="50"/>
        <w:jc w:val="both"/>
        <w:rPr>
          <w:rFonts w:eastAsia="宋体"/>
        </w:rPr>
      </w:pPr>
      <w:r>
        <w:rPr>
          <w:rFonts w:hint="eastAsia" w:eastAsia="宋体"/>
        </w:rPr>
        <w:t xml:space="preserve">In LTE, power control of SRS shares almost the same parameters with that of PUSCH except a configurable offset. In NR, there are two types of SRS: for CSI acquisition and for beam management. </w:t>
      </w:r>
    </w:p>
    <w:p>
      <w:pPr>
        <w:numPr>
          <w:ilvl w:val="0"/>
          <w:numId w:val="12"/>
        </w:numPr>
        <w:adjustRightInd w:val="0"/>
        <w:snapToGrid w:val="0"/>
        <w:spacing w:before="180" w:beforeLines="50"/>
        <w:jc w:val="both"/>
        <w:rPr>
          <w:rFonts w:eastAsia="宋体"/>
        </w:rPr>
      </w:pPr>
      <w:r>
        <w:rPr>
          <w:rFonts w:hint="eastAsia" w:eastAsia="宋体"/>
        </w:rPr>
        <w:t xml:space="preserve">SRS for CSI acquisition is similar to SRS in LTE. But SRS for CSI acquisition may occupy wider range of TX beams than that of PUSCH. Therefore, the PUSCH could share PC setting parameters with those SRS for CSI acquisition over the same beam (pairs) as the PUSCH, and SRS for acquisition over different beam pair from PUSCH may need independent </w:t>
      </w:r>
      <w:r>
        <w:rPr>
          <w:rFonts w:eastAsia="宋体"/>
        </w:rPr>
        <w:t>ULTxPa</w:t>
      </w:r>
      <w:r>
        <w:rPr>
          <w:rFonts w:hint="eastAsia" w:eastAsia="宋体"/>
        </w:rPr>
        <w:t xml:space="preserve">ra sets. </w:t>
      </w:r>
    </w:p>
    <w:p>
      <w:pPr>
        <w:numPr>
          <w:ilvl w:val="0"/>
          <w:numId w:val="12"/>
        </w:numPr>
        <w:adjustRightInd w:val="0"/>
        <w:snapToGrid w:val="0"/>
        <w:spacing w:before="180" w:beforeLines="50"/>
        <w:jc w:val="both"/>
        <w:rPr>
          <w:rFonts w:eastAsia="宋体"/>
        </w:rPr>
      </w:pPr>
      <w:r>
        <w:rPr>
          <w:rFonts w:hint="eastAsia" w:eastAsia="宋体"/>
        </w:rPr>
        <w:t xml:space="preserve">Power control of SRS for beam management is different from that of SRS for CSI acquisition. gNB as a receiver needs to compare the quality of different beam pair link, so SRS for beam management over different TX beams would better be transmitted at the same power level. In addition, beam group based power control </w:t>
      </w:r>
      <w:r>
        <w:rPr>
          <w:rFonts w:eastAsia="宋体"/>
        </w:rPr>
        <w:t>can</w:t>
      </w:r>
      <w:r>
        <w:rPr>
          <w:rFonts w:hint="eastAsia" w:eastAsia="宋体"/>
        </w:rPr>
        <w:t xml:space="preserve"> also be considered and has benefit in some scenarios. </w:t>
      </w:r>
      <w:r>
        <w:rPr>
          <w:rFonts w:hint="eastAsia" w:eastAsia="宋体"/>
          <w:szCs w:val="20"/>
          <w:lang w:val="en-GB"/>
        </w:rPr>
        <w:t>Beam group based power control for SRS for uplink beam sweeping achieves lower interference to the transmission of adjacent gNB while ensuring the reception of SRS resources. This is particularly useful during the beam refinement stage for different beam groups corresponding to different uplink paths.</w:t>
      </w:r>
      <w:r>
        <w:rPr>
          <w:rFonts w:hint="eastAsia" w:eastAsia="宋体"/>
          <w:szCs w:val="20"/>
        </w:rPr>
        <w:t xml:space="preserve"> With the above PC framework, gNB can configure different PC </w:t>
      </w:r>
      <w:r>
        <w:rPr>
          <w:rFonts w:eastAsia="宋体"/>
          <w:szCs w:val="20"/>
        </w:rPr>
        <w:t>setting</w:t>
      </w:r>
      <w:r>
        <w:rPr>
          <w:rFonts w:hint="eastAsia" w:eastAsia="宋体"/>
          <w:szCs w:val="20"/>
        </w:rPr>
        <w:t xml:space="preserve"> for different group of SRS for beam management.</w:t>
      </w:r>
    </w:p>
    <w:p>
      <w:pPr>
        <w:adjustRightInd w:val="0"/>
        <w:snapToGrid w:val="0"/>
        <w:spacing w:before="180" w:beforeLines="50"/>
        <w:jc w:val="both"/>
        <w:rPr>
          <w:rFonts w:eastAsia="宋体"/>
          <w:b/>
          <w:i/>
          <w:szCs w:val="20"/>
          <w:lang w:val="en-GB"/>
        </w:rPr>
      </w:pPr>
      <w:r>
        <w:rPr>
          <w:rFonts w:eastAsia="宋体"/>
          <w:b/>
          <w:i/>
          <w:szCs w:val="20"/>
          <w:lang w:val="en-GB"/>
        </w:rPr>
        <w:t>Proposal</w:t>
      </w:r>
      <w:r>
        <w:rPr>
          <w:rFonts w:hint="eastAsia" w:eastAsia="宋体"/>
          <w:b/>
          <w:i/>
          <w:szCs w:val="20"/>
        </w:rPr>
        <w:t xml:space="preserve"> 5</w:t>
      </w:r>
      <w:r>
        <w:rPr>
          <w:rFonts w:eastAsia="宋体"/>
          <w:b/>
          <w:i/>
          <w:szCs w:val="20"/>
          <w:lang w:val="en-GB"/>
        </w:rPr>
        <w:t>:</w:t>
      </w:r>
      <w:r>
        <w:rPr>
          <w:rFonts w:hint="eastAsia" w:eastAsia="宋体"/>
          <w:b/>
          <w:i/>
          <w:szCs w:val="20"/>
        </w:rPr>
        <w:t xml:space="preserve"> </w:t>
      </w:r>
      <w:r>
        <w:rPr>
          <w:rFonts w:hint="eastAsia" w:eastAsia="宋体"/>
          <w:i/>
          <w:szCs w:val="20"/>
          <w:lang w:val="en-GB"/>
        </w:rPr>
        <w:t>Beam</w:t>
      </w:r>
      <w:r>
        <w:rPr>
          <w:rFonts w:hint="eastAsia" w:eastAsia="宋体"/>
          <w:i/>
          <w:szCs w:val="20"/>
        </w:rPr>
        <w:t xml:space="preserve"> </w:t>
      </w:r>
      <w:r>
        <w:rPr>
          <w:rFonts w:hint="eastAsia" w:eastAsia="宋体"/>
          <w:i/>
          <w:szCs w:val="20"/>
          <w:lang w:val="en-GB"/>
        </w:rPr>
        <w:t>group based power control for SRS for</w:t>
      </w:r>
      <w:r>
        <w:rPr>
          <w:rFonts w:hint="eastAsia" w:eastAsia="宋体"/>
          <w:i/>
          <w:szCs w:val="20"/>
        </w:rPr>
        <w:t xml:space="preserve"> beam management </w:t>
      </w:r>
      <w:r>
        <w:rPr>
          <w:rFonts w:hint="eastAsia" w:eastAsia="宋体"/>
          <w:i/>
          <w:szCs w:val="20"/>
          <w:lang w:val="en-GB"/>
        </w:rPr>
        <w:t>is supported.</w:t>
      </w:r>
    </w:p>
    <w:p>
      <w:pPr>
        <w:pStyle w:val="2"/>
        <w:keepNext/>
        <w:tabs>
          <w:tab w:val="left" w:pos="3686"/>
          <w:tab w:val="left" w:pos="4536"/>
        </w:tabs>
        <w:autoSpaceDE/>
        <w:autoSpaceDN/>
        <w:snapToGrid w:val="0"/>
        <w:spacing w:before="180" w:beforeLines="50" w:beforeAutospacing="0" w:after="0" w:afterAutospacing="0" w:line="240" w:lineRule="auto"/>
        <w:textAlignment w:val="baseline"/>
        <w:rPr>
          <w:rFonts w:ascii="Arial Unicode MS" w:hAnsi="Arial Unicode MS" w:eastAsia="Arial Unicode MS" w:cs="Arial Unicode MS"/>
          <w:sz w:val="28"/>
          <w:szCs w:val="28"/>
        </w:rPr>
      </w:pPr>
      <w:r>
        <w:rPr>
          <w:rFonts w:ascii="Arial Unicode MS" w:hAnsi="Arial Unicode MS" w:eastAsia="Arial Unicode MS" w:cs="Arial Unicode MS"/>
          <w:sz w:val="28"/>
          <w:szCs w:val="28"/>
        </w:rPr>
        <w:t>Conclusion</w:t>
      </w:r>
    </w:p>
    <w:p>
      <w:pPr>
        <w:adjustRightInd w:val="0"/>
        <w:snapToGrid w:val="0"/>
        <w:spacing w:before="180" w:beforeLines="50"/>
        <w:jc w:val="both"/>
        <w:rPr>
          <w:rFonts w:eastAsia="宋体"/>
        </w:rPr>
      </w:pPr>
      <w:r>
        <w:rPr>
          <w:rFonts w:hint="eastAsia" w:eastAsia="宋体"/>
        </w:rPr>
        <w:t>In this contribution, we discuss UL power control</w:t>
      </w:r>
      <w:r>
        <w:rPr>
          <w:rFonts w:eastAsia="宋体"/>
        </w:rPr>
        <w:t xml:space="preserve"> for </w:t>
      </w:r>
      <w:r>
        <w:rPr>
          <w:rFonts w:hint="eastAsia" w:eastAsia="宋体"/>
        </w:rPr>
        <w:t>NR. From the above discussion, we have the following proposals:</w:t>
      </w:r>
    </w:p>
    <w:p>
      <w:pPr>
        <w:pStyle w:val="77"/>
        <w:snapToGrid w:val="0"/>
        <w:spacing w:before="180" w:beforeLines="50" w:after="0"/>
        <w:ind w:left="0" w:firstLine="0"/>
        <w:jc w:val="both"/>
        <w:rPr>
          <w:rFonts w:eastAsiaTheme="minorEastAsia"/>
          <w:i/>
          <w:lang w:val="en-US" w:eastAsia="zh-CN"/>
        </w:rPr>
      </w:pPr>
      <w:r>
        <w:rPr>
          <w:rFonts w:hint="eastAsia"/>
          <w:b/>
          <w:i/>
        </w:rPr>
        <w:t>Proposal</w:t>
      </w:r>
      <w:r>
        <w:rPr>
          <w:rFonts w:hint="eastAsia" w:eastAsia="宋体"/>
          <w:b/>
          <w:i/>
          <w:lang w:val="en-US" w:eastAsia="zh-CN"/>
        </w:rPr>
        <w:t xml:space="preserve"> 1</w:t>
      </w:r>
      <w:r>
        <w:rPr>
          <w:rFonts w:hint="eastAsia" w:eastAsiaTheme="minorEastAsia"/>
          <w:b/>
          <w:i/>
          <w:lang w:eastAsia="zh-CN"/>
        </w:rPr>
        <w:t>:</w:t>
      </w:r>
      <w:r>
        <w:rPr>
          <w:rFonts w:eastAsia="宋体"/>
          <w:i/>
          <w:lang w:val="en-US" w:eastAsia="zh-CN"/>
        </w:rPr>
        <w:t xml:space="preserve"> At least for PUSCH transmission, UE can have multiple configurations of DL RS for PL measurement, e.g., {SSB, CSI-RS}, {SSB,SSB}, {CSI-RS, CSI-RS}, etc</w:t>
      </w:r>
    </w:p>
    <w:p>
      <w:pPr>
        <w:pStyle w:val="77"/>
        <w:numPr>
          <w:ilvl w:val="1"/>
          <w:numId w:val="5"/>
        </w:numPr>
        <w:snapToGrid w:val="0"/>
        <w:spacing w:before="180" w:beforeLines="50" w:after="0"/>
        <w:jc w:val="both"/>
        <w:rPr>
          <w:rFonts w:eastAsia="宋体"/>
          <w:i/>
          <w:lang w:val="en-US" w:eastAsia="zh-CN"/>
        </w:rPr>
      </w:pPr>
      <w:r>
        <w:rPr>
          <w:rFonts w:hint="eastAsia" w:eastAsia="宋体"/>
          <w:i/>
          <w:lang w:val="en-US" w:eastAsia="zh-CN"/>
        </w:rPr>
        <w:t xml:space="preserve">The configuration of </w:t>
      </w:r>
      <w:r>
        <w:rPr>
          <w:rFonts w:eastAsia="宋体"/>
          <w:i/>
          <w:lang w:val="en-US" w:eastAsia="zh-CN"/>
        </w:rPr>
        <w:t xml:space="preserve">CSI-RS resource for PL measurement </w:t>
      </w:r>
      <w:r>
        <w:rPr>
          <w:rFonts w:hint="eastAsia" w:eastAsia="宋体"/>
          <w:i/>
          <w:lang w:val="en-US" w:eastAsia="zh-CN"/>
        </w:rPr>
        <w:t>can be</w:t>
      </w:r>
      <w:r>
        <w:rPr>
          <w:rFonts w:eastAsia="宋体"/>
          <w:i/>
          <w:lang w:val="en-US" w:eastAsia="zh-CN"/>
        </w:rPr>
        <w:t> independent</w:t>
      </w:r>
      <w:r>
        <w:rPr>
          <w:rFonts w:hint="eastAsia" w:eastAsia="宋体"/>
          <w:i/>
          <w:lang w:val="en-US" w:eastAsia="zh-CN"/>
        </w:rPr>
        <w:t xml:space="preserve"> from that of CSI-RS </w:t>
      </w:r>
      <w:r>
        <w:rPr>
          <w:rFonts w:eastAsia="宋体"/>
          <w:i/>
          <w:lang w:val="en-US" w:eastAsia="zh-CN"/>
        </w:rPr>
        <w:t xml:space="preserve">resource </w:t>
      </w:r>
      <w:r>
        <w:rPr>
          <w:rFonts w:hint="eastAsia" w:eastAsia="宋体"/>
          <w:i/>
          <w:lang w:val="en-US" w:eastAsia="zh-CN"/>
        </w:rPr>
        <w:t>for other usage</w:t>
      </w:r>
    </w:p>
    <w:p>
      <w:pPr>
        <w:pStyle w:val="77"/>
        <w:numPr>
          <w:ilvl w:val="1"/>
          <w:numId w:val="5"/>
        </w:numPr>
        <w:snapToGrid w:val="0"/>
        <w:spacing w:before="180" w:beforeLines="50" w:after="0"/>
        <w:jc w:val="both"/>
        <w:rPr>
          <w:rFonts w:eastAsia="宋体"/>
          <w:i/>
          <w:lang w:val="en-US" w:eastAsia="zh-CN"/>
        </w:rPr>
      </w:pPr>
      <w:r>
        <w:rPr>
          <w:rFonts w:hint="eastAsia" w:eastAsia="宋体"/>
          <w:i/>
          <w:lang w:val="en-US" w:eastAsia="zh-CN"/>
        </w:rPr>
        <w:t>Each configuration of DL RS for PL measurement corresponding to a UL TX beam group</w:t>
      </w:r>
    </w:p>
    <w:p>
      <w:pPr>
        <w:pStyle w:val="71"/>
        <w:snapToGrid w:val="0"/>
        <w:spacing w:before="180" w:beforeLines="50" w:after="0" w:line="240" w:lineRule="auto"/>
        <w:ind w:firstLine="0"/>
        <w:rPr>
          <w:i/>
          <w:iCs/>
          <w:sz w:val="20"/>
        </w:rPr>
      </w:pPr>
      <w:r>
        <w:rPr>
          <w:rFonts w:hint="eastAsia"/>
          <w:b/>
          <w:bCs/>
          <w:i/>
          <w:iCs/>
          <w:sz w:val="20"/>
        </w:rPr>
        <w:t>Proposal 2</w:t>
      </w:r>
      <w:r>
        <w:rPr>
          <w:rFonts w:hint="eastAsia"/>
          <w:i/>
          <w:iCs/>
          <w:sz w:val="20"/>
        </w:rPr>
        <w:t>: support the power control framework as follows:</w:t>
      </w:r>
    </w:p>
    <w:p>
      <w:pPr>
        <w:pStyle w:val="71"/>
        <w:numPr>
          <w:ilvl w:val="0"/>
          <w:numId w:val="8"/>
        </w:numPr>
        <w:snapToGrid w:val="0"/>
        <w:spacing w:before="180" w:beforeLines="50" w:after="0" w:line="240" w:lineRule="auto"/>
        <w:rPr>
          <w:sz w:val="20"/>
        </w:rPr>
      </w:pPr>
      <w:r>
        <w:rPr>
          <w:rFonts w:hint="eastAsia"/>
          <w:i/>
          <w:iCs/>
          <w:sz w:val="20"/>
        </w:rPr>
        <w:t xml:space="preserve">gNB configures one or more </w:t>
      </w:r>
      <w:r>
        <w:rPr>
          <w:i/>
          <w:iCs/>
          <w:sz w:val="20"/>
        </w:rPr>
        <w:t xml:space="preserve">UL </w:t>
      </w:r>
      <w:r>
        <w:rPr>
          <w:rFonts w:hint="eastAsia"/>
          <w:i/>
          <w:iCs/>
          <w:sz w:val="20"/>
        </w:rPr>
        <w:t>transmit paramete</w:t>
      </w:r>
      <w:r>
        <w:rPr>
          <w:i/>
          <w:iCs/>
          <w:sz w:val="20"/>
        </w:rPr>
        <w:t>r</w:t>
      </w:r>
      <w:r>
        <w:rPr>
          <w:rFonts w:hint="eastAsia"/>
          <w:i/>
          <w:iCs/>
          <w:sz w:val="20"/>
        </w:rPr>
        <w:t xml:space="preserve"> setting</w:t>
      </w:r>
      <w:r>
        <w:rPr>
          <w:i/>
          <w:iCs/>
          <w:sz w:val="20"/>
        </w:rPr>
        <w:t>s</w:t>
      </w:r>
      <w:r>
        <w:rPr>
          <w:rFonts w:hint="eastAsia"/>
          <w:i/>
          <w:iCs/>
          <w:sz w:val="20"/>
        </w:rPr>
        <w:t xml:space="preserve"> for a UE. Each </w:t>
      </w:r>
      <w:r>
        <w:rPr>
          <w:i/>
          <w:iCs/>
          <w:sz w:val="20"/>
        </w:rPr>
        <w:t>ULTxPa</w:t>
      </w:r>
      <w:r>
        <w:rPr>
          <w:rFonts w:hint="eastAsia"/>
          <w:i/>
          <w:iCs/>
          <w:sz w:val="20"/>
        </w:rPr>
        <w:t xml:space="preserve">ra setting includes at least one </w:t>
      </w:r>
      <w:r>
        <w:rPr>
          <w:i/>
          <w:iCs/>
          <w:sz w:val="20"/>
        </w:rPr>
        <w:t>ULTxPa</w:t>
      </w:r>
      <w:r>
        <w:rPr>
          <w:rFonts w:hint="eastAsia"/>
          <w:i/>
          <w:iCs/>
          <w:sz w:val="20"/>
        </w:rPr>
        <w:t xml:space="preserve">ra set. </w:t>
      </w:r>
    </w:p>
    <w:p>
      <w:pPr>
        <w:pStyle w:val="71"/>
        <w:numPr>
          <w:ilvl w:val="1"/>
          <w:numId w:val="8"/>
        </w:numPr>
        <w:snapToGrid w:val="0"/>
        <w:spacing w:before="180" w:beforeLines="50" w:after="0" w:line="240" w:lineRule="auto"/>
        <w:rPr>
          <w:sz w:val="20"/>
        </w:rPr>
      </w:pPr>
      <w:r>
        <w:rPr>
          <w:rFonts w:hint="eastAsia"/>
          <w:i/>
          <w:iCs/>
          <w:sz w:val="20"/>
        </w:rPr>
        <w:t>Each ULTxPara setting is configured for a channel or signal, or for a specific configuration, such as traffic, etc..</w:t>
      </w:r>
    </w:p>
    <w:p>
      <w:pPr>
        <w:pStyle w:val="71"/>
        <w:numPr>
          <w:ilvl w:val="1"/>
          <w:numId w:val="8"/>
        </w:numPr>
        <w:snapToGrid w:val="0"/>
        <w:spacing w:before="180" w:beforeLines="50" w:after="0" w:line="240" w:lineRule="auto"/>
        <w:rPr>
          <w:sz w:val="20"/>
        </w:rPr>
      </w:pPr>
      <w:r>
        <w:rPr>
          <w:rFonts w:hint="eastAsia"/>
          <w:i/>
          <w:iCs/>
          <w:sz w:val="20"/>
        </w:rPr>
        <w:t xml:space="preserve">Each </w:t>
      </w:r>
      <w:r>
        <w:rPr>
          <w:i/>
          <w:iCs/>
          <w:sz w:val="20"/>
        </w:rPr>
        <w:t>ULTxPa</w:t>
      </w:r>
      <w:r>
        <w:rPr>
          <w:rFonts w:hint="eastAsia"/>
          <w:i/>
          <w:iCs/>
          <w:sz w:val="20"/>
        </w:rPr>
        <w:t>ra set is associated with one power control loop.</w:t>
      </w:r>
    </w:p>
    <w:p>
      <w:pPr>
        <w:pStyle w:val="71"/>
        <w:numPr>
          <w:ilvl w:val="0"/>
          <w:numId w:val="8"/>
        </w:numPr>
        <w:snapToGrid w:val="0"/>
        <w:spacing w:before="180" w:beforeLines="50" w:after="0" w:line="240" w:lineRule="auto"/>
        <w:rPr>
          <w:sz w:val="20"/>
        </w:rPr>
      </w:pPr>
      <w:r>
        <w:rPr>
          <w:rFonts w:hint="eastAsia"/>
          <w:i/>
          <w:iCs/>
          <w:sz w:val="20"/>
        </w:rPr>
        <w:t>TX beam (group)</w:t>
      </w:r>
      <w:r>
        <w:rPr>
          <w:rFonts w:hint="eastAsia"/>
          <w:i/>
          <w:iCs/>
          <w:sz w:val="20"/>
          <w:lang w:val="en-US" w:eastAsia="zh-CN"/>
        </w:rPr>
        <w:t xml:space="preserve"> indication,</w:t>
      </w:r>
      <w:r>
        <w:rPr>
          <w:rFonts w:hint="eastAsia"/>
          <w:i/>
          <w:iCs/>
          <w:sz w:val="20"/>
        </w:rPr>
        <w:t xml:space="preserve"> P0 UE specific part</w:t>
      </w:r>
      <w:r>
        <w:rPr>
          <w:rFonts w:hint="eastAsia"/>
          <w:i/>
          <w:iCs/>
          <w:sz w:val="20"/>
          <w:lang w:val="en-US" w:eastAsia="zh-CN"/>
        </w:rPr>
        <w:t xml:space="preserve"> and </w:t>
      </w:r>
      <w:r>
        <w:rPr>
          <w:rFonts w:hint="eastAsia"/>
          <w:i/>
          <w:iCs/>
          <w:sz w:val="20"/>
        </w:rPr>
        <w:t xml:space="preserve">PL configuration </w:t>
      </w:r>
      <w:r>
        <w:rPr>
          <w:rFonts w:hint="eastAsia"/>
          <w:i/>
          <w:iCs/>
          <w:sz w:val="20"/>
          <w:lang w:val="en-US" w:eastAsia="zh-CN"/>
        </w:rPr>
        <w:t>should be configured per</w:t>
      </w:r>
      <w:r>
        <w:rPr>
          <w:rFonts w:hint="eastAsia"/>
          <w:i/>
          <w:iCs/>
          <w:sz w:val="20"/>
        </w:rPr>
        <w:t xml:space="preserve"> power control loop</w:t>
      </w:r>
      <w:r>
        <w:rPr>
          <w:rFonts w:hint="eastAsia"/>
          <w:i/>
          <w:iCs/>
          <w:sz w:val="20"/>
          <w:lang w:val="en-US" w:eastAsia="zh-CN"/>
        </w:rPr>
        <w:t xml:space="preserve">, e.g. per </w:t>
      </w:r>
      <w:r>
        <w:rPr>
          <w:i/>
          <w:iCs/>
          <w:sz w:val="20"/>
        </w:rPr>
        <w:t>ULTxPa</w:t>
      </w:r>
      <w:r>
        <w:rPr>
          <w:rFonts w:hint="eastAsia"/>
          <w:i/>
          <w:iCs/>
          <w:sz w:val="20"/>
        </w:rPr>
        <w:t>ra set</w:t>
      </w:r>
      <w:r>
        <w:rPr>
          <w:rFonts w:hint="eastAsia"/>
          <w:i/>
          <w:iCs/>
          <w:sz w:val="20"/>
          <w:lang w:val="en-US" w:eastAsia="zh-CN"/>
        </w:rPr>
        <w:t>.</w:t>
      </w:r>
    </w:p>
    <w:p>
      <w:pPr>
        <w:pStyle w:val="71"/>
        <w:numPr>
          <w:ilvl w:val="0"/>
          <w:numId w:val="8"/>
        </w:numPr>
        <w:snapToGrid w:val="0"/>
        <w:spacing w:before="180" w:beforeLines="50" w:after="0" w:line="240" w:lineRule="auto"/>
        <w:rPr>
          <w:i/>
          <w:iCs/>
          <w:sz w:val="20"/>
        </w:rPr>
      </w:pPr>
      <w:r>
        <w:rPr>
          <w:rFonts w:hint="eastAsia"/>
          <w:i/>
          <w:iCs/>
          <w:sz w:val="20"/>
          <w:lang w:val="en-US" w:eastAsia="zh-CN"/>
        </w:rPr>
        <w:t xml:space="preserve">Alpha could be configured per power control loop, e.g. per ULTxPara set </w:t>
      </w:r>
    </w:p>
    <w:p>
      <w:pPr>
        <w:pStyle w:val="71"/>
        <w:numPr>
          <w:ilvl w:val="0"/>
          <w:numId w:val="8"/>
        </w:numPr>
        <w:snapToGrid w:val="0"/>
        <w:spacing w:before="180" w:beforeLines="50" w:after="0" w:line="240" w:lineRule="auto"/>
        <w:rPr>
          <w:sz w:val="20"/>
        </w:rPr>
      </w:pPr>
      <w:r>
        <w:rPr>
          <w:rFonts w:hint="eastAsia"/>
          <w:i/>
          <w:iCs/>
          <w:sz w:val="20"/>
        </w:rPr>
        <w:t>Upon receiving</w:t>
      </w:r>
      <w:r>
        <w:rPr>
          <w:i/>
          <w:iCs/>
          <w:sz w:val="20"/>
        </w:rPr>
        <w:t xml:space="preserve"> RRC re-configuration of</w:t>
      </w:r>
      <w:r>
        <w:rPr>
          <w:rFonts w:hint="eastAsia"/>
          <w:i/>
          <w:iCs/>
          <w:sz w:val="20"/>
        </w:rPr>
        <w:t xml:space="preserve"> ULTxPara set, UE needs to reset the relevant f(i).</w:t>
      </w:r>
    </w:p>
    <w:p>
      <w:pPr>
        <w:adjustRightInd w:val="0"/>
        <w:snapToGrid w:val="0"/>
        <w:spacing w:before="180" w:beforeLines="50"/>
        <w:jc w:val="both"/>
        <w:rPr>
          <w:i/>
          <w:iCs/>
        </w:rPr>
      </w:pPr>
      <w:r>
        <w:rPr>
          <w:rFonts w:hint="eastAsia" w:eastAsia="宋体"/>
          <w:b/>
          <w:i/>
          <w:szCs w:val="20"/>
          <w:lang w:val="en-GB"/>
        </w:rPr>
        <w:t xml:space="preserve">Proposal </w:t>
      </w:r>
      <w:r>
        <w:rPr>
          <w:rFonts w:hint="eastAsia" w:eastAsia="宋体"/>
          <w:b/>
          <w:i/>
          <w:szCs w:val="20"/>
        </w:rPr>
        <w:t>3</w:t>
      </w:r>
      <w:r>
        <w:rPr>
          <w:rFonts w:eastAsia="宋体"/>
          <w:b/>
          <w:i/>
          <w:szCs w:val="20"/>
          <w:lang w:val="en-GB"/>
        </w:rPr>
        <w:t>:</w:t>
      </w:r>
      <w:r>
        <w:rPr>
          <w:rFonts w:hint="eastAsia" w:eastAsia="宋体"/>
          <w:b/>
          <w:i/>
          <w:szCs w:val="20"/>
          <w:lang w:val="en-GB"/>
        </w:rPr>
        <w:t xml:space="preserve"> </w:t>
      </w:r>
      <w:r>
        <w:rPr>
          <w:rFonts w:hint="eastAsia" w:eastAsia="宋体"/>
          <w:bCs/>
          <w:i/>
          <w:szCs w:val="20"/>
        </w:rPr>
        <w:t xml:space="preserve">for multiple TX beams transmission, PHR should </w:t>
      </w:r>
      <w:r>
        <w:rPr>
          <w:rFonts w:hint="eastAsia"/>
          <w:i/>
          <w:iCs/>
        </w:rPr>
        <w:t>reflect the headroom of the sum of all related beam pair links</w:t>
      </w:r>
      <w:r>
        <w:rPr>
          <w:i/>
          <w:iCs/>
        </w:rPr>
        <w:t>’</w:t>
      </w:r>
      <w:r>
        <w:rPr>
          <w:rFonts w:hint="eastAsia"/>
          <w:i/>
          <w:iCs/>
        </w:rPr>
        <w:t xml:space="preserve"> individual power, the PHR trigger condition of PL changing should reflect the sum of all related beam pair links</w:t>
      </w:r>
      <w:r>
        <w:rPr>
          <w:i/>
          <w:iCs/>
        </w:rPr>
        <w:t>’</w:t>
      </w:r>
      <w:r>
        <w:rPr>
          <w:rFonts w:hint="eastAsia"/>
          <w:i/>
          <w:iCs/>
        </w:rPr>
        <w:t xml:space="preserve"> PL changing.</w:t>
      </w:r>
    </w:p>
    <w:p>
      <w:pPr>
        <w:pStyle w:val="71"/>
        <w:adjustRightInd w:val="0"/>
        <w:snapToGrid w:val="0"/>
        <w:spacing w:before="180" w:beforeLines="50" w:after="0" w:line="240" w:lineRule="auto"/>
        <w:ind w:firstLine="0"/>
        <w:rPr>
          <w:i/>
          <w:iCs/>
        </w:rPr>
      </w:pPr>
      <w:r>
        <w:rPr>
          <w:rFonts w:hint="eastAsia"/>
          <w:b/>
          <w:bCs/>
          <w:i/>
          <w:iCs/>
        </w:rPr>
        <w:t>Proposal 4</w:t>
      </w:r>
      <w:r>
        <w:rPr>
          <w:rFonts w:hint="eastAsia"/>
          <w:i/>
          <w:iCs/>
        </w:rPr>
        <w:t xml:space="preserve">: </w:t>
      </w:r>
      <w:r>
        <w:rPr>
          <w:i/>
          <w:iCs/>
        </w:rPr>
        <w:t>F</w:t>
      </w:r>
      <w:r>
        <w:rPr>
          <w:rFonts w:hint="eastAsia"/>
          <w:i/>
          <w:iCs/>
        </w:rPr>
        <w:t>or virtual PHR in NR,</w:t>
      </w:r>
    </w:p>
    <w:p>
      <w:pPr>
        <w:numPr>
          <w:ilvl w:val="1"/>
          <w:numId w:val="11"/>
        </w:numPr>
        <w:tabs>
          <w:tab w:val="left" w:pos="840"/>
        </w:tabs>
        <w:adjustRightInd w:val="0"/>
        <w:ind w:left="1500" w:hanging="360"/>
        <w:rPr>
          <w:i/>
          <w:szCs w:val="20"/>
        </w:rPr>
      </w:pPr>
      <w:r>
        <w:rPr>
          <w:rFonts w:hint="eastAsia"/>
          <w:i/>
          <w:szCs w:val="20"/>
        </w:rPr>
        <w:t>Virtual PHR shares the same PHR setting as real PHR</w:t>
      </w:r>
    </w:p>
    <w:p>
      <w:pPr>
        <w:numPr>
          <w:ilvl w:val="1"/>
          <w:numId w:val="11"/>
        </w:numPr>
        <w:tabs>
          <w:tab w:val="left" w:pos="840"/>
        </w:tabs>
        <w:adjustRightInd w:val="0"/>
        <w:ind w:left="1500" w:hanging="360"/>
        <w:rPr>
          <w:i/>
          <w:szCs w:val="20"/>
        </w:rPr>
      </w:pPr>
      <w:r>
        <w:rPr>
          <w:rFonts w:hint="eastAsia"/>
          <w:i/>
          <w:szCs w:val="20"/>
        </w:rPr>
        <w:t xml:space="preserve">Virtual PHR should be supported in NR based on the waveform of the previous transmission; </w:t>
      </w:r>
    </w:p>
    <w:p>
      <w:pPr>
        <w:adjustRightInd w:val="0"/>
        <w:snapToGrid w:val="0"/>
        <w:spacing w:before="180" w:beforeLines="50"/>
        <w:jc w:val="both"/>
        <w:rPr>
          <w:rFonts w:eastAsia="宋体"/>
          <w:b/>
          <w:i/>
          <w:szCs w:val="20"/>
          <w:lang w:val="en-GB"/>
        </w:rPr>
      </w:pPr>
      <w:r>
        <w:rPr>
          <w:rFonts w:eastAsia="宋体"/>
          <w:b/>
          <w:i/>
          <w:szCs w:val="20"/>
          <w:lang w:val="en-GB"/>
        </w:rPr>
        <w:t>Proposal</w:t>
      </w:r>
      <w:r>
        <w:rPr>
          <w:rFonts w:hint="eastAsia" w:eastAsia="宋体"/>
          <w:b/>
          <w:i/>
          <w:szCs w:val="20"/>
        </w:rPr>
        <w:t xml:space="preserve"> 5</w:t>
      </w:r>
      <w:r>
        <w:rPr>
          <w:rFonts w:eastAsia="宋体"/>
          <w:b/>
          <w:i/>
          <w:szCs w:val="20"/>
          <w:lang w:val="en-GB"/>
        </w:rPr>
        <w:t>:</w:t>
      </w:r>
      <w:r>
        <w:rPr>
          <w:rFonts w:hint="eastAsia" w:eastAsia="宋体"/>
          <w:b/>
          <w:i/>
          <w:szCs w:val="20"/>
        </w:rPr>
        <w:t xml:space="preserve"> </w:t>
      </w:r>
      <w:r>
        <w:rPr>
          <w:rFonts w:hint="eastAsia" w:eastAsia="宋体"/>
          <w:i/>
          <w:szCs w:val="20"/>
          <w:lang w:val="en-GB"/>
        </w:rPr>
        <w:t>Beam</w:t>
      </w:r>
      <w:r>
        <w:rPr>
          <w:rFonts w:hint="eastAsia" w:eastAsia="宋体"/>
          <w:i/>
          <w:szCs w:val="20"/>
        </w:rPr>
        <w:t xml:space="preserve"> </w:t>
      </w:r>
      <w:r>
        <w:rPr>
          <w:rFonts w:hint="eastAsia" w:eastAsia="宋体"/>
          <w:i/>
          <w:szCs w:val="20"/>
          <w:lang w:val="en-GB"/>
        </w:rPr>
        <w:t>group based power control for SRS for</w:t>
      </w:r>
      <w:r>
        <w:rPr>
          <w:rFonts w:hint="eastAsia" w:eastAsia="宋体"/>
          <w:i/>
          <w:szCs w:val="20"/>
        </w:rPr>
        <w:t xml:space="preserve"> beam management </w:t>
      </w:r>
      <w:r>
        <w:rPr>
          <w:rFonts w:hint="eastAsia" w:eastAsia="宋体"/>
          <w:i/>
          <w:szCs w:val="20"/>
          <w:lang w:val="en-GB"/>
        </w:rPr>
        <w:t>is supported.</w:t>
      </w:r>
    </w:p>
    <w:p>
      <w:pPr>
        <w:adjustRightInd w:val="0"/>
        <w:snapToGrid w:val="0"/>
        <w:spacing w:before="180" w:beforeLines="50"/>
        <w:jc w:val="both"/>
        <w:rPr>
          <w:rFonts w:eastAsia="宋体"/>
        </w:rPr>
      </w:pPr>
    </w:p>
    <w:p>
      <w:pPr>
        <w:pStyle w:val="2"/>
        <w:keepNext/>
        <w:tabs>
          <w:tab w:val="left" w:pos="3686"/>
          <w:tab w:val="left" w:pos="4536"/>
        </w:tabs>
        <w:autoSpaceDE/>
        <w:autoSpaceDN/>
        <w:snapToGrid w:val="0"/>
        <w:spacing w:before="180" w:beforeLines="50" w:beforeAutospacing="0" w:after="0" w:afterAutospacing="0" w:line="240" w:lineRule="auto"/>
        <w:textAlignment w:val="baseline"/>
        <w:rPr>
          <w:rFonts w:ascii="Arial Unicode MS" w:hAnsi="Arial Unicode MS" w:eastAsia="Arial Unicode MS" w:cs="Arial Unicode MS"/>
          <w:sz w:val="28"/>
          <w:szCs w:val="28"/>
        </w:rPr>
      </w:pPr>
      <w:r>
        <w:rPr>
          <w:rFonts w:hint="eastAsia" w:ascii="Arial Unicode MS" w:hAnsi="Arial Unicode MS" w:eastAsia="Arial Unicode MS" w:cs="Arial Unicode MS"/>
          <w:sz w:val="28"/>
          <w:szCs w:val="28"/>
        </w:rPr>
        <w:t>Reference</w:t>
      </w:r>
      <w:r>
        <w:rPr>
          <w:rFonts w:ascii="Arial Unicode MS" w:hAnsi="Arial Unicode MS" w:eastAsia="Arial Unicode MS" w:cs="Arial Unicode MS"/>
          <w:sz w:val="28"/>
          <w:szCs w:val="28"/>
        </w:rPr>
        <w:t>s</w:t>
      </w:r>
    </w:p>
    <w:p>
      <w:pPr>
        <w:snapToGrid w:val="0"/>
        <w:spacing w:before="180" w:beforeLines="50"/>
        <w:rPr>
          <w:rFonts w:eastAsia="宋体"/>
          <w:szCs w:val="20"/>
          <w:lang w:val="en-GB"/>
        </w:rPr>
      </w:pPr>
      <w:bookmarkStart w:id="2" w:name="_Ref446511358"/>
      <w:bookmarkEnd w:id="2"/>
      <w:bookmarkStart w:id="3" w:name="_Ref446506608"/>
      <w:bookmarkEnd w:id="3"/>
      <w:bookmarkStart w:id="4" w:name="_Ref446507216"/>
      <w:bookmarkEnd w:id="4"/>
      <w:r>
        <w:rPr>
          <w:rFonts w:hint="eastAsia" w:eastAsia="宋体"/>
          <w:szCs w:val="20"/>
          <w:lang w:val="en-GB"/>
        </w:rPr>
        <w:t>[1] Chairman</w:t>
      </w:r>
      <w:r>
        <w:rPr>
          <w:rFonts w:eastAsia="宋体"/>
          <w:szCs w:val="20"/>
          <w:lang w:val="en-GB"/>
        </w:rPr>
        <w:t>’</w:t>
      </w:r>
      <w:r>
        <w:rPr>
          <w:rFonts w:hint="eastAsia" w:eastAsia="宋体"/>
          <w:szCs w:val="20"/>
          <w:lang w:val="en-GB"/>
        </w:rPr>
        <w:t>s note, 3GPP RAN1#</w:t>
      </w:r>
      <w:r>
        <w:rPr>
          <w:rFonts w:hint="eastAsia" w:eastAsia="宋体"/>
          <w:szCs w:val="20"/>
        </w:rPr>
        <w:t>90</w:t>
      </w:r>
    </w:p>
    <w:p>
      <w:pPr>
        <w:snapToGrid w:val="0"/>
        <w:spacing w:before="180" w:beforeLines="50"/>
        <w:rPr>
          <w:rFonts w:eastAsia="宋体"/>
          <w:szCs w:val="20"/>
          <w:lang w:val="en-GB"/>
        </w:rPr>
      </w:pPr>
      <w:r>
        <w:rPr>
          <w:rFonts w:hint="eastAsia" w:eastAsia="宋体"/>
          <w:szCs w:val="20"/>
          <w:lang w:val="en-GB"/>
        </w:rPr>
        <w:t>[</w:t>
      </w:r>
      <w:r>
        <w:rPr>
          <w:rFonts w:hint="eastAsia" w:eastAsia="宋体"/>
          <w:szCs w:val="20"/>
        </w:rPr>
        <w:t>2</w:t>
      </w:r>
      <w:r>
        <w:rPr>
          <w:rFonts w:hint="eastAsia" w:eastAsia="宋体"/>
          <w:szCs w:val="20"/>
          <w:lang w:val="en-GB"/>
        </w:rPr>
        <w:t>] Chairman</w:t>
      </w:r>
      <w:r>
        <w:rPr>
          <w:rFonts w:eastAsia="宋体"/>
          <w:szCs w:val="20"/>
          <w:lang w:val="en-GB"/>
        </w:rPr>
        <w:t>’</w:t>
      </w:r>
      <w:r>
        <w:rPr>
          <w:rFonts w:hint="eastAsia" w:eastAsia="宋体"/>
          <w:szCs w:val="20"/>
          <w:lang w:val="en-GB"/>
        </w:rPr>
        <w:t>s note, 3GPP RAN1#88bis</w:t>
      </w:r>
    </w:p>
    <w:p>
      <w:pPr>
        <w:snapToGrid w:val="0"/>
        <w:spacing w:before="180" w:beforeLines="50"/>
        <w:rPr>
          <w:rFonts w:eastAsia="宋体"/>
          <w:szCs w:val="20"/>
          <w:lang w:val="en-GB"/>
        </w:rPr>
      </w:pPr>
      <w:r>
        <w:rPr>
          <w:rFonts w:hint="eastAsia" w:eastAsia="宋体"/>
          <w:szCs w:val="20"/>
          <w:lang w:val="en-GB"/>
        </w:rPr>
        <w:t>[</w:t>
      </w:r>
      <w:r>
        <w:rPr>
          <w:rFonts w:hint="eastAsia" w:eastAsia="宋体"/>
          <w:szCs w:val="20"/>
        </w:rPr>
        <w:t>3</w:t>
      </w:r>
      <w:r>
        <w:rPr>
          <w:rFonts w:hint="eastAsia" w:eastAsia="宋体"/>
          <w:szCs w:val="20"/>
          <w:lang w:val="en-GB"/>
        </w:rPr>
        <w:t>] Chairman</w:t>
      </w:r>
      <w:r>
        <w:rPr>
          <w:rFonts w:eastAsia="宋体"/>
          <w:szCs w:val="20"/>
          <w:lang w:val="en-GB"/>
        </w:rPr>
        <w:t>’</w:t>
      </w:r>
      <w:r>
        <w:rPr>
          <w:rFonts w:hint="eastAsia" w:eastAsia="宋体"/>
          <w:szCs w:val="20"/>
          <w:lang w:val="en-GB"/>
        </w:rPr>
        <w:t>s note, 3GPP RAN1#89</w:t>
      </w:r>
    </w:p>
    <w:p>
      <w:pPr>
        <w:snapToGrid w:val="0"/>
        <w:spacing w:before="180" w:beforeLines="50"/>
        <w:rPr>
          <w:rFonts w:eastAsia="宋体"/>
          <w:szCs w:val="20"/>
        </w:rPr>
      </w:pPr>
      <w:r>
        <w:rPr>
          <w:rFonts w:hint="eastAsia" w:eastAsia="宋体"/>
          <w:szCs w:val="20"/>
        </w:rPr>
        <w:t xml:space="preserve">[4] </w:t>
      </w:r>
      <w:r>
        <w:rPr>
          <w:rFonts w:hint="eastAsia" w:eastAsia="宋体"/>
          <w:szCs w:val="20"/>
          <w:lang w:val="en-GB"/>
        </w:rPr>
        <w:t>Chairman's Notes RAN1_NRAH2</w:t>
      </w:r>
    </w:p>
    <w:p>
      <w:pPr>
        <w:snapToGrid w:val="0"/>
        <w:spacing w:before="180" w:beforeLines="50"/>
      </w:pPr>
    </w:p>
    <w:sectPr>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auto"/>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auto"/>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Arial Unicode MS">
    <w:altName w:val="Arial"/>
    <w:panose1 w:val="020B0604020202020204"/>
    <w:charset w:val="00"/>
    <w:family w:val="auto"/>
    <w:pitch w:val="default"/>
    <w:sig w:usb0="00000000" w:usb1="00000000" w:usb2="0000003F" w:usb3="00000000" w:csb0="003F01FF"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Times New Roman Italic">
    <w:altName w:val="Times New Roman"/>
    <w:panose1 w:val="02020503050405090304"/>
    <w:charset w:val="00"/>
    <w:family w:val="roman"/>
    <w:pitch w:val="default"/>
    <w:sig w:usb0="00000000" w:usb1="00000000" w:usb2="00000000" w:usb3="00000000" w:csb0="00040001" w:csb1="00000000"/>
  </w:font>
  <w:font w:name="FrutigerNext LT Regular">
    <w:altName w:val="Verdana"/>
    <w:panose1 w:val="00000000000000000000"/>
    <w:charset w:val="00"/>
    <w:family w:val="swiss"/>
    <w:pitch w:val="default"/>
    <w:sig w:usb0="00000000" w:usb1="00000000" w:usb2="00000000" w:usb3="00000000" w:csb0="00000111" w:csb1="00000000"/>
  </w:font>
  <w:font w:name="Bookman Old Style">
    <w:altName w:val="Segoe Print"/>
    <w:panose1 w:val="02050604050505020204"/>
    <w:charset w:val="00"/>
    <w:family w:val="roman"/>
    <w:pitch w:val="default"/>
    <w:sig w:usb0="00000000" w:usb1="00000000" w:usb2="00000000" w:usb3="00000000" w:csb0="2000009F" w:csb1="DFD70000"/>
  </w:font>
  <w:font w:name="Arial Unicode MS">
    <w:altName w:val="Arial"/>
    <w:panose1 w:val="020B0604020202020204"/>
    <w:charset w:val="80"/>
    <w:family w:val="swiss"/>
    <w:pitch w:val="default"/>
    <w:sig w:usb0="00000000" w:usb1="00000000" w:usb2="0000003F" w:usb3="00000000" w:csb0="603F01FF" w:csb1="FFFF0000"/>
  </w:font>
  <w:font w:name="Verdana">
    <w:panose1 w:val="020B0604030504040204"/>
    <w:charset w:val="00"/>
    <w:family w:val="auto"/>
    <w:pitch w:val="default"/>
    <w:sig w:usb0="A10006FF" w:usb1="4000205B" w:usb2="00000010" w:usb3="00000000" w:csb0="2000019F"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A62AA"/>
    <w:multiLevelType w:val="multilevel"/>
    <w:tmpl w:val="1B2A62AA"/>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1F8D1026"/>
    <w:multiLevelType w:val="multilevel"/>
    <w:tmpl w:val="1F8D10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6A5090B"/>
    <w:multiLevelType w:val="multilevel"/>
    <w:tmpl w:val="36A5090B"/>
    <w:lvl w:ilvl="0" w:tentative="0">
      <w:start w:val="1"/>
      <w:numFmt w:val="bullet"/>
      <w:lvlText w:val=""/>
      <w:lvlJc w:val="left"/>
      <w:pPr>
        <w:ind w:left="780" w:hanging="360"/>
      </w:pPr>
      <w:rPr>
        <w:rFonts w:hint="default" w:ascii="Wingdings" w:hAnsi="Wingdings"/>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3">
    <w:nsid w:val="59845243"/>
    <w:multiLevelType w:val="singleLevel"/>
    <w:tmpl w:val="59845243"/>
    <w:lvl w:ilvl="0" w:tentative="0">
      <w:start w:val="1"/>
      <w:numFmt w:val="bullet"/>
      <w:lvlText w:val=""/>
      <w:lvlJc w:val="left"/>
      <w:pPr>
        <w:ind w:left="420" w:hanging="420"/>
      </w:pPr>
      <w:rPr>
        <w:rFonts w:hint="default" w:ascii="Wingdings" w:hAnsi="Wingdings"/>
      </w:rPr>
    </w:lvl>
  </w:abstractNum>
  <w:abstractNum w:abstractNumId="4">
    <w:nsid w:val="59882DF1"/>
    <w:multiLevelType w:val="singleLevel"/>
    <w:tmpl w:val="59882DF1"/>
    <w:lvl w:ilvl="0" w:tentative="0">
      <w:start w:val="1"/>
      <w:numFmt w:val="bullet"/>
      <w:lvlText w:val=""/>
      <w:lvlJc w:val="left"/>
      <w:pPr>
        <w:ind w:left="420" w:hanging="420"/>
      </w:pPr>
      <w:rPr>
        <w:rFonts w:hint="default" w:ascii="Wingdings" w:hAnsi="Wingdings"/>
      </w:rPr>
    </w:lvl>
  </w:abstractNum>
  <w:abstractNum w:abstractNumId="5">
    <w:nsid w:val="598960CE"/>
    <w:multiLevelType w:val="multilevel"/>
    <w:tmpl w:val="598960C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598D68D6"/>
    <w:multiLevelType w:val="singleLevel"/>
    <w:tmpl w:val="598D68D6"/>
    <w:lvl w:ilvl="0" w:tentative="0">
      <w:start w:val="1"/>
      <w:numFmt w:val="bullet"/>
      <w:lvlText w:val=""/>
      <w:lvlJc w:val="left"/>
      <w:pPr>
        <w:ind w:left="420" w:hanging="420"/>
      </w:pPr>
      <w:rPr>
        <w:rFonts w:hint="default" w:ascii="Wingdings" w:hAnsi="Wingdings"/>
      </w:rPr>
    </w:lvl>
  </w:abstractNum>
  <w:abstractNum w:abstractNumId="7">
    <w:nsid w:val="598DA29C"/>
    <w:multiLevelType w:val="singleLevel"/>
    <w:tmpl w:val="598DA29C"/>
    <w:lvl w:ilvl="0" w:tentative="0">
      <w:start w:val="1"/>
      <w:numFmt w:val="bullet"/>
      <w:lvlText w:val=""/>
      <w:lvlJc w:val="left"/>
      <w:pPr>
        <w:ind w:left="420" w:hanging="420"/>
      </w:pPr>
      <w:rPr>
        <w:rFonts w:hint="default" w:ascii="Wingdings" w:hAnsi="Wingdings"/>
      </w:rPr>
    </w:lvl>
  </w:abstractNum>
  <w:abstractNum w:abstractNumId="8">
    <w:nsid w:val="598E18FD"/>
    <w:multiLevelType w:val="multilevel"/>
    <w:tmpl w:val="598E18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598E32C7"/>
    <w:multiLevelType w:val="singleLevel"/>
    <w:tmpl w:val="598E32C7"/>
    <w:lvl w:ilvl="0" w:tentative="0">
      <w:start w:val="1"/>
      <w:numFmt w:val="bullet"/>
      <w:lvlText w:val=""/>
      <w:lvlJc w:val="left"/>
      <w:pPr>
        <w:ind w:left="420" w:hanging="420"/>
      </w:pPr>
      <w:rPr>
        <w:rFonts w:hint="default" w:ascii="Wingdings" w:hAnsi="Wingdings"/>
      </w:rPr>
    </w:lvl>
  </w:abstractNum>
  <w:abstractNum w:abstractNumId="10">
    <w:nsid w:val="61083285"/>
    <w:multiLevelType w:val="multilevel"/>
    <w:tmpl w:val="61083285"/>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Times New Roman" w:hAnsi="Times New Roman" w:eastAsia="宋体" w:cs="Times New Roman"/>
        <w:b/>
        <w:sz w:val="20"/>
        <w:u w:val="none"/>
      </w:rPr>
    </w:lvl>
    <w:lvl w:ilvl="2" w:tentative="0">
      <w:start w:val="1"/>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618869EA"/>
    <w:multiLevelType w:val="multilevel"/>
    <w:tmpl w:val="618869EA"/>
    <w:lvl w:ilvl="0" w:tentative="0">
      <w:start w:val="1"/>
      <w:numFmt w:val="decimal"/>
      <w:pStyle w:val="2"/>
      <w:lvlText w:val="%1"/>
      <w:lvlJc w:val="left"/>
      <w:pPr>
        <w:tabs>
          <w:tab w:val="left" w:pos="432"/>
        </w:tabs>
        <w:ind w:left="432" w:hanging="432"/>
      </w:pPr>
      <w:rPr>
        <w:rFonts w:hint="eastAsia"/>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pStyle w:val="4"/>
      <w:lvlText w:val="%1.%2.%3"/>
      <w:lvlJc w:val="left"/>
      <w:pPr>
        <w:tabs>
          <w:tab w:val="left" w:pos="720"/>
        </w:tabs>
        <w:ind w:left="720" w:hanging="720"/>
      </w:pPr>
      <w:rPr>
        <w:rFonts w:hint="eastAsia"/>
        <w:b/>
        <w:i w:val="0"/>
        <w:sz w:val="21"/>
      </w:rPr>
    </w:lvl>
    <w:lvl w:ilvl="3" w:tentative="0">
      <w:start w:val="1"/>
      <w:numFmt w:val="decimal"/>
      <w:pStyle w:val="5"/>
      <w:lvlText w:val="%1.%2.%3.%4"/>
      <w:lvlJc w:val="left"/>
      <w:pPr>
        <w:tabs>
          <w:tab w:val="left" w:pos="864"/>
        </w:tabs>
        <w:ind w:left="864" w:hanging="864"/>
      </w:pPr>
      <w:rPr>
        <w:rFonts w:hint="eastAsia"/>
        <w:b/>
        <w:i w:val="0"/>
        <w:sz w:val="21"/>
      </w:rPr>
    </w:lvl>
    <w:lvl w:ilvl="4" w:tentative="0">
      <w:start w:val="1"/>
      <w:numFmt w:val="decimal"/>
      <w:pStyle w:val="6"/>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11"/>
  </w:num>
  <w:num w:numId="2">
    <w:abstractNumId w:val="0"/>
  </w:num>
  <w:num w:numId="3">
    <w:abstractNumId w:val="1"/>
  </w:num>
  <w:num w:numId="4">
    <w:abstractNumId w:val="6"/>
  </w:num>
  <w:num w:numId="5">
    <w:abstractNumId w:val="10"/>
  </w:num>
  <w:num w:numId="6">
    <w:abstractNumId w:val="3"/>
  </w:num>
  <w:num w:numId="7">
    <w:abstractNumId w:val="7"/>
  </w:num>
  <w:num w:numId="8">
    <w:abstractNumId w:val="8"/>
  </w:num>
  <w:num w:numId="9">
    <w:abstractNumId w:val="9"/>
  </w:num>
  <w:num w:numId="10">
    <w:abstractNumId w:val="5"/>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ocumentProtection w:enforcement="0"/>
  <w:defaultTabStop w:val="720"/>
  <w:hyphenationZone w:val="425"/>
  <w:drawingGridHorizontalSpacing w:val="11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4192"/>
    <w:rsid w:val="000342F2"/>
    <w:rsid w:val="000343FC"/>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1A2"/>
    <w:rsid w:val="000D121B"/>
    <w:rsid w:val="000D1629"/>
    <w:rsid w:val="000D1708"/>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84A"/>
    <w:rsid w:val="00157997"/>
    <w:rsid w:val="00157B62"/>
    <w:rsid w:val="001602BF"/>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E49"/>
    <w:rsid w:val="00166EFA"/>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1EB"/>
    <w:rsid w:val="001D45FF"/>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CE8"/>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A4F"/>
    <w:rsid w:val="00280D6F"/>
    <w:rsid w:val="00281283"/>
    <w:rsid w:val="002812B5"/>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D2"/>
    <w:rsid w:val="002B52E8"/>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A72"/>
    <w:rsid w:val="002C6B21"/>
    <w:rsid w:val="002C6B23"/>
    <w:rsid w:val="002C6D68"/>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532"/>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3F0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BEA"/>
    <w:rsid w:val="00463E7D"/>
    <w:rsid w:val="0046414F"/>
    <w:rsid w:val="00464A49"/>
    <w:rsid w:val="00464D03"/>
    <w:rsid w:val="00464D42"/>
    <w:rsid w:val="0046538D"/>
    <w:rsid w:val="0046550B"/>
    <w:rsid w:val="00465AF0"/>
    <w:rsid w:val="00465C78"/>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CA5"/>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983"/>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839"/>
    <w:rsid w:val="00570EEC"/>
    <w:rsid w:val="0057113E"/>
    <w:rsid w:val="00571343"/>
    <w:rsid w:val="00571552"/>
    <w:rsid w:val="00571F60"/>
    <w:rsid w:val="005720FA"/>
    <w:rsid w:val="00572222"/>
    <w:rsid w:val="005723DB"/>
    <w:rsid w:val="00572679"/>
    <w:rsid w:val="00572775"/>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5E"/>
    <w:rsid w:val="0059715D"/>
    <w:rsid w:val="005972B6"/>
    <w:rsid w:val="00597B5B"/>
    <w:rsid w:val="005A012A"/>
    <w:rsid w:val="005A0222"/>
    <w:rsid w:val="005A039A"/>
    <w:rsid w:val="005A03E8"/>
    <w:rsid w:val="005A0501"/>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5A7"/>
    <w:rsid w:val="005C286F"/>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892"/>
    <w:rsid w:val="00613988"/>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50C3"/>
    <w:rsid w:val="006359FC"/>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2ED"/>
    <w:rsid w:val="00677D77"/>
    <w:rsid w:val="00677E0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33C"/>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19B0"/>
    <w:rsid w:val="00BE1D6C"/>
    <w:rsid w:val="00BE20E8"/>
    <w:rsid w:val="00BE216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D69"/>
    <w:rsid w:val="00CD426C"/>
    <w:rsid w:val="00CD46CB"/>
    <w:rsid w:val="00CD47FB"/>
    <w:rsid w:val="00CD48D2"/>
    <w:rsid w:val="00CD48E0"/>
    <w:rsid w:val="00CD49CD"/>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A1A"/>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747"/>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75A"/>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276"/>
    <w:rsid w:val="00EA73EB"/>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B85CFE"/>
    <w:rsid w:val="0254496F"/>
    <w:rsid w:val="02E60F49"/>
    <w:rsid w:val="03C551FF"/>
    <w:rsid w:val="03CD42FF"/>
    <w:rsid w:val="03EA1CFF"/>
    <w:rsid w:val="03ED1A58"/>
    <w:rsid w:val="04251C2B"/>
    <w:rsid w:val="043B4BBE"/>
    <w:rsid w:val="04DF01BD"/>
    <w:rsid w:val="052A64E9"/>
    <w:rsid w:val="053A1C6F"/>
    <w:rsid w:val="05CF0362"/>
    <w:rsid w:val="05D10E9A"/>
    <w:rsid w:val="062D0004"/>
    <w:rsid w:val="06625EB3"/>
    <w:rsid w:val="06A966F0"/>
    <w:rsid w:val="06AF2B54"/>
    <w:rsid w:val="06D24771"/>
    <w:rsid w:val="07086832"/>
    <w:rsid w:val="07457F2F"/>
    <w:rsid w:val="07663B0C"/>
    <w:rsid w:val="076765E4"/>
    <w:rsid w:val="0837062F"/>
    <w:rsid w:val="08A1519A"/>
    <w:rsid w:val="08B10C46"/>
    <w:rsid w:val="08D649BB"/>
    <w:rsid w:val="08E14ED5"/>
    <w:rsid w:val="090E43AD"/>
    <w:rsid w:val="093352C8"/>
    <w:rsid w:val="09A63558"/>
    <w:rsid w:val="09F01539"/>
    <w:rsid w:val="0A057456"/>
    <w:rsid w:val="0AAB733F"/>
    <w:rsid w:val="0AC42A22"/>
    <w:rsid w:val="0AE27C3A"/>
    <w:rsid w:val="0B261605"/>
    <w:rsid w:val="0BFC77DA"/>
    <w:rsid w:val="0C1C16ED"/>
    <w:rsid w:val="0C300595"/>
    <w:rsid w:val="0C7E6BBF"/>
    <w:rsid w:val="0CB30221"/>
    <w:rsid w:val="0D190D03"/>
    <w:rsid w:val="0D704C8F"/>
    <w:rsid w:val="0D7466F5"/>
    <w:rsid w:val="0DF144F2"/>
    <w:rsid w:val="0DF501D1"/>
    <w:rsid w:val="0E19514C"/>
    <w:rsid w:val="0E640EEC"/>
    <w:rsid w:val="0E792BCB"/>
    <w:rsid w:val="0F8B6A7D"/>
    <w:rsid w:val="0FC6018D"/>
    <w:rsid w:val="10241F33"/>
    <w:rsid w:val="102A4A5B"/>
    <w:rsid w:val="103447BE"/>
    <w:rsid w:val="107113A6"/>
    <w:rsid w:val="107639F8"/>
    <w:rsid w:val="10797D1C"/>
    <w:rsid w:val="10A512A0"/>
    <w:rsid w:val="10AE0EDE"/>
    <w:rsid w:val="10D841BB"/>
    <w:rsid w:val="11345BB0"/>
    <w:rsid w:val="11B53347"/>
    <w:rsid w:val="11CD595B"/>
    <w:rsid w:val="12E26A09"/>
    <w:rsid w:val="13251A5C"/>
    <w:rsid w:val="134E4423"/>
    <w:rsid w:val="14F21BB5"/>
    <w:rsid w:val="15064C7B"/>
    <w:rsid w:val="155E63CC"/>
    <w:rsid w:val="156F2065"/>
    <w:rsid w:val="15F7796F"/>
    <w:rsid w:val="16824DF7"/>
    <w:rsid w:val="16E01545"/>
    <w:rsid w:val="17054D2B"/>
    <w:rsid w:val="17D80A06"/>
    <w:rsid w:val="17F322B2"/>
    <w:rsid w:val="18226EDE"/>
    <w:rsid w:val="1865608A"/>
    <w:rsid w:val="18AB1068"/>
    <w:rsid w:val="18C563DC"/>
    <w:rsid w:val="19E607BA"/>
    <w:rsid w:val="1A032FF5"/>
    <w:rsid w:val="1A100D82"/>
    <w:rsid w:val="1A19214D"/>
    <w:rsid w:val="1A573A96"/>
    <w:rsid w:val="1A711815"/>
    <w:rsid w:val="1AC63C1B"/>
    <w:rsid w:val="1B3C2D73"/>
    <w:rsid w:val="1B45401A"/>
    <w:rsid w:val="1B63544D"/>
    <w:rsid w:val="1B7975E3"/>
    <w:rsid w:val="1BA54D43"/>
    <w:rsid w:val="1BCF5BAB"/>
    <w:rsid w:val="1CC370F6"/>
    <w:rsid w:val="1D173AB6"/>
    <w:rsid w:val="1D187EBB"/>
    <w:rsid w:val="1D37298A"/>
    <w:rsid w:val="1D71367F"/>
    <w:rsid w:val="1DD639FE"/>
    <w:rsid w:val="1E2830DF"/>
    <w:rsid w:val="1ED84D1E"/>
    <w:rsid w:val="1F9E4E4C"/>
    <w:rsid w:val="1FBB56F3"/>
    <w:rsid w:val="1FC03EF2"/>
    <w:rsid w:val="205966D6"/>
    <w:rsid w:val="20806EFA"/>
    <w:rsid w:val="20C637AC"/>
    <w:rsid w:val="21114230"/>
    <w:rsid w:val="214B24AF"/>
    <w:rsid w:val="215215F8"/>
    <w:rsid w:val="217E18D6"/>
    <w:rsid w:val="21B121C4"/>
    <w:rsid w:val="21C22593"/>
    <w:rsid w:val="21F15A2C"/>
    <w:rsid w:val="227849E0"/>
    <w:rsid w:val="22F44EC0"/>
    <w:rsid w:val="22F9232A"/>
    <w:rsid w:val="23555FBD"/>
    <w:rsid w:val="237E1085"/>
    <w:rsid w:val="238E0CC2"/>
    <w:rsid w:val="23BF2648"/>
    <w:rsid w:val="23E438DC"/>
    <w:rsid w:val="24342583"/>
    <w:rsid w:val="24595EA9"/>
    <w:rsid w:val="25B0480A"/>
    <w:rsid w:val="25E358D7"/>
    <w:rsid w:val="25F87333"/>
    <w:rsid w:val="26565096"/>
    <w:rsid w:val="27001E87"/>
    <w:rsid w:val="270C37A0"/>
    <w:rsid w:val="27803E93"/>
    <w:rsid w:val="28003F0B"/>
    <w:rsid w:val="28690E82"/>
    <w:rsid w:val="28DE51B7"/>
    <w:rsid w:val="29083B3D"/>
    <w:rsid w:val="290E35DA"/>
    <w:rsid w:val="29201D7A"/>
    <w:rsid w:val="292B1B70"/>
    <w:rsid w:val="298404B0"/>
    <w:rsid w:val="29936F43"/>
    <w:rsid w:val="29DB3C33"/>
    <w:rsid w:val="2A7B6947"/>
    <w:rsid w:val="2A7C6744"/>
    <w:rsid w:val="2A7E0511"/>
    <w:rsid w:val="2B757DBF"/>
    <w:rsid w:val="2BC2605F"/>
    <w:rsid w:val="2BD154E9"/>
    <w:rsid w:val="2CB8113B"/>
    <w:rsid w:val="2CCB7A09"/>
    <w:rsid w:val="2D262D25"/>
    <w:rsid w:val="2D331087"/>
    <w:rsid w:val="2D5C2E0D"/>
    <w:rsid w:val="2DBD4788"/>
    <w:rsid w:val="2DDB46FB"/>
    <w:rsid w:val="2DEE6370"/>
    <w:rsid w:val="2E122A84"/>
    <w:rsid w:val="2E5159B7"/>
    <w:rsid w:val="2F477462"/>
    <w:rsid w:val="2F5B42DA"/>
    <w:rsid w:val="2F764A55"/>
    <w:rsid w:val="2F9960ED"/>
    <w:rsid w:val="30871F9B"/>
    <w:rsid w:val="308A276F"/>
    <w:rsid w:val="309762F2"/>
    <w:rsid w:val="30AE2B58"/>
    <w:rsid w:val="30C21A50"/>
    <w:rsid w:val="30C536F8"/>
    <w:rsid w:val="31231D3C"/>
    <w:rsid w:val="31542A30"/>
    <w:rsid w:val="31C20B2E"/>
    <w:rsid w:val="31C6519A"/>
    <w:rsid w:val="31DA083D"/>
    <w:rsid w:val="3229136A"/>
    <w:rsid w:val="32390A31"/>
    <w:rsid w:val="325C521B"/>
    <w:rsid w:val="32766ADC"/>
    <w:rsid w:val="32BA6E40"/>
    <w:rsid w:val="33114DDB"/>
    <w:rsid w:val="331A0B19"/>
    <w:rsid w:val="332E240F"/>
    <w:rsid w:val="33346A83"/>
    <w:rsid w:val="337148D9"/>
    <w:rsid w:val="33C25D73"/>
    <w:rsid w:val="33C51B6D"/>
    <w:rsid w:val="33D63411"/>
    <w:rsid w:val="34037A3B"/>
    <w:rsid w:val="341C1D6F"/>
    <w:rsid w:val="344A06F0"/>
    <w:rsid w:val="34776D68"/>
    <w:rsid w:val="35233233"/>
    <w:rsid w:val="35BF3F4C"/>
    <w:rsid w:val="362013CC"/>
    <w:rsid w:val="36577678"/>
    <w:rsid w:val="36676BC9"/>
    <w:rsid w:val="36C65164"/>
    <w:rsid w:val="36CA535B"/>
    <w:rsid w:val="37385903"/>
    <w:rsid w:val="37BF798B"/>
    <w:rsid w:val="37C23F8F"/>
    <w:rsid w:val="38161547"/>
    <w:rsid w:val="383655F2"/>
    <w:rsid w:val="384C6518"/>
    <w:rsid w:val="389E2802"/>
    <w:rsid w:val="38EC7B5D"/>
    <w:rsid w:val="395B53C1"/>
    <w:rsid w:val="39670ED0"/>
    <w:rsid w:val="397833EE"/>
    <w:rsid w:val="39FF6A0D"/>
    <w:rsid w:val="3A305785"/>
    <w:rsid w:val="3A32158C"/>
    <w:rsid w:val="3A7B345F"/>
    <w:rsid w:val="3A911FB9"/>
    <w:rsid w:val="3AEA6F2D"/>
    <w:rsid w:val="3BAD4688"/>
    <w:rsid w:val="3C4B3834"/>
    <w:rsid w:val="3C9A390C"/>
    <w:rsid w:val="3CAB1870"/>
    <w:rsid w:val="3DB06A15"/>
    <w:rsid w:val="3DD249E0"/>
    <w:rsid w:val="3ED46D63"/>
    <w:rsid w:val="3EE823FD"/>
    <w:rsid w:val="3F2B16DE"/>
    <w:rsid w:val="3F365051"/>
    <w:rsid w:val="3F8064D7"/>
    <w:rsid w:val="3FAA799C"/>
    <w:rsid w:val="3FAB221E"/>
    <w:rsid w:val="3FBF0AD3"/>
    <w:rsid w:val="400966B5"/>
    <w:rsid w:val="405B41A1"/>
    <w:rsid w:val="40806D30"/>
    <w:rsid w:val="416F754E"/>
    <w:rsid w:val="41956A0C"/>
    <w:rsid w:val="41BA7E70"/>
    <w:rsid w:val="420B1123"/>
    <w:rsid w:val="428A429C"/>
    <w:rsid w:val="42D305CE"/>
    <w:rsid w:val="433E3343"/>
    <w:rsid w:val="439067D5"/>
    <w:rsid w:val="44106909"/>
    <w:rsid w:val="444177EC"/>
    <w:rsid w:val="44A0270A"/>
    <w:rsid w:val="456448D4"/>
    <w:rsid w:val="458C7895"/>
    <w:rsid w:val="45AE4BB8"/>
    <w:rsid w:val="45BC0EBC"/>
    <w:rsid w:val="45D1456B"/>
    <w:rsid w:val="464F3C74"/>
    <w:rsid w:val="4691548C"/>
    <w:rsid w:val="46951F49"/>
    <w:rsid w:val="46C4380F"/>
    <w:rsid w:val="46EA2657"/>
    <w:rsid w:val="472B7DBA"/>
    <w:rsid w:val="482B10B3"/>
    <w:rsid w:val="483A4A2F"/>
    <w:rsid w:val="48402A6B"/>
    <w:rsid w:val="489E3DFA"/>
    <w:rsid w:val="491F69AB"/>
    <w:rsid w:val="49567AA8"/>
    <w:rsid w:val="496E375F"/>
    <w:rsid w:val="49CE72FB"/>
    <w:rsid w:val="49D527C7"/>
    <w:rsid w:val="4A0F6384"/>
    <w:rsid w:val="4A5A0BC1"/>
    <w:rsid w:val="4AAA5D79"/>
    <w:rsid w:val="4ABA1183"/>
    <w:rsid w:val="4B405EF3"/>
    <w:rsid w:val="4C582A94"/>
    <w:rsid w:val="4D4312A1"/>
    <w:rsid w:val="4DA74020"/>
    <w:rsid w:val="4DA9231B"/>
    <w:rsid w:val="4DF92CEE"/>
    <w:rsid w:val="4F3F58B4"/>
    <w:rsid w:val="4F553197"/>
    <w:rsid w:val="4FB64A96"/>
    <w:rsid w:val="50BA6A29"/>
    <w:rsid w:val="50D2253B"/>
    <w:rsid w:val="51E14AA7"/>
    <w:rsid w:val="523D58A7"/>
    <w:rsid w:val="529E0B16"/>
    <w:rsid w:val="53640E00"/>
    <w:rsid w:val="536F7331"/>
    <w:rsid w:val="53943EC5"/>
    <w:rsid w:val="53B20987"/>
    <w:rsid w:val="541B4773"/>
    <w:rsid w:val="54A52DAC"/>
    <w:rsid w:val="54B0008E"/>
    <w:rsid w:val="556906FB"/>
    <w:rsid w:val="55A133CC"/>
    <w:rsid w:val="56034097"/>
    <w:rsid w:val="56C36F78"/>
    <w:rsid w:val="56F35790"/>
    <w:rsid w:val="5706053F"/>
    <w:rsid w:val="570D1CEC"/>
    <w:rsid w:val="572312DA"/>
    <w:rsid w:val="59510834"/>
    <w:rsid w:val="598F30CA"/>
    <w:rsid w:val="59996DA9"/>
    <w:rsid w:val="59B55F44"/>
    <w:rsid w:val="59D87FB1"/>
    <w:rsid w:val="5A413C03"/>
    <w:rsid w:val="5A445162"/>
    <w:rsid w:val="5A892F0E"/>
    <w:rsid w:val="5A927B87"/>
    <w:rsid w:val="5B3175F5"/>
    <w:rsid w:val="5B87196B"/>
    <w:rsid w:val="5BB65ECE"/>
    <w:rsid w:val="5BDF7534"/>
    <w:rsid w:val="5BEC2ABA"/>
    <w:rsid w:val="5C3C2A13"/>
    <w:rsid w:val="5CA8185D"/>
    <w:rsid w:val="5D5572D2"/>
    <w:rsid w:val="5E595F4C"/>
    <w:rsid w:val="5F397D45"/>
    <w:rsid w:val="5F4F5621"/>
    <w:rsid w:val="5F6D47BA"/>
    <w:rsid w:val="5FD81B05"/>
    <w:rsid w:val="603B60D9"/>
    <w:rsid w:val="60DC14CC"/>
    <w:rsid w:val="61531DB2"/>
    <w:rsid w:val="62A56970"/>
    <w:rsid w:val="63313EBB"/>
    <w:rsid w:val="637E0327"/>
    <w:rsid w:val="63F459FC"/>
    <w:rsid w:val="63F501CD"/>
    <w:rsid w:val="64071787"/>
    <w:rsid w:val="640A5372"/>
    <w:rsid w:val="642A67B5"/>
    <w:rsid w:val="643914E5"/>
    <w:rsid w:val="64956C03"/>
    <w:rsid w:val="650613CD"/>
    <w:rsid w:val="6514292A"/>
    <w:rsid w:val="6518208F"/>
    <w:rsid w:val="65933814"/>
    <w:rsid w:val="65AC519A"/>
    <w:rsid w:val="65E66712"/>
    <w:rsid w:val="65F51B70"/>
    <w:rsid w:val="66371620"/>
    <w:rsid w:val="66A80DB6"/>
    <w:rsid w:val="66F84618"/>
    <w:rsid w:val="672002B4"/>
    <w:rsid w:val="67576C8D"/>
    <w:rsid w:val="67767C08"/>
    <w:rsid w:val="6821479D"/>
    <w:rsid w:val="685B3DBC"/>
    <w:rsid w:val="688E6B42"/>
    <w:rsid w:val="689C19A7"/>
    <w:rsid w:val="68B83FCD"/>
    <w:rsid w:val="68DB58B3"/>
    <w:rsid w:val="69683388"/>
    <w:rsid w:val="69744451"/>
    <w:rsid w:val="699A3830"/>
    <w:rsid w:val="69D271BF"/>
    <w:rsid w:val="6A1A7606"/>
    <w:rsid w:val="6A2229ED"/>
    <w:rsid w:val="6A917224"/>
    <w:rsid w:val="6AD301C7"/>
    <w:rsid w:val="6B5F76FC"/>
    <w:rsid w:val="6BA76870"/>
    <w:rsid w:val="6BE912C0"/>
    <w:rsid w:val="6C3001FD"/>
    <w:rsid w:val="6C7B102A"/>
    <w:rsid w:val="6C7C787B"/>
    <w:rsid w:val="6C7D2FC6"/>
    <w:rsid w:val="6C8D532E"/>
    <w:rsid w:val="6CA155DB"/>
    <w:rsid w:val="6CC43B00"/>
    <w:rsid w:val="6D6B17E5"/>
    <w:rsid w:val="6DF53564"/>
    <w:rsid w:val="6E6F53F4"/>
    <w:rsid w:val="6F5F15A1"/>
    <w:rsid w:val="6FA2172F"/>
    <w:rsid w:val="701F43FF"/>
    <w:rsid w:val="7084764A"/>
    <w:rsid w:val="708A2370"/>
    <w:rsid w:val="70CB50D0"/>
    <w:rsid w:val="713C3EBC"/>
    <w:rsid w:val="7170513A"/>
    <w:rsid w:val="718A1659"/>
    <w:rsid w:val="72E351D9"/>
    <w:rsid w:val="72FF6EFE"/>
    <w:rsid w:val="7335128C"/>
    <w:rsid w:val="73C270AA"/>
    <w:rsid w:val="73C42DC8"/>
    <w:rsid w:val="73CC1F97"/>
    <w:rsid w:val="73E70279"/>
    <w:rsid w:val="73F32AC4"/>
    <w:rsid w:val="75372CE8"/>
    <w:rsid w:val="75B82788"/>
    <w:rsid w:val="761B7FB5"/>
    <w:rsid w:val="769F3400"/>
    <w:rsid w:val="76A97E80"/>
    <w:rsid w:val="76D171BB"/>
    <w:rsid w:val="77063A55"/>
    <w:rsid w:val="784255A8"/>
    <w:rsid w:val="78CB2F33"/>
    <w:rsid w:val="791C38D3"/>
    <w:rsid w:val="79664C14"/>
    <w:rsid w:val="7A73178E"/>
    <w:rsid w:val="7ADF7839"/>
    <w:rsid w:val="7B42499F"/>
    <w:rsid w:val="7BCB22CD"/>
    <w:rsid w:val="7C17381A"/>
    <w:rsid w:val="7C3779AA"/>
    <w:rsid w:val="7C9317D9"/>
    <w:rsid w:val="7CDB126F"/>
    <w:rsid w:val="7F202501"/>
    <w:rsid w:val="7F9D7279"/>
    <w:rsid w:val="7FC441A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3">
    <w:name w:val="heading 2"/>
    <w:basedOn w:val="1"/>
    <w:next w:val="1"/>
    <w:link w:val="41"/>
    <w:qFormat/>
    <w:uiPriority w:val="0"/>
    <w:pPr>
      <w:keepNext/>
      <w:keepLines/>
      <w:numPr>
        <w:ilvl w:val="1"/>
        <w:numId w:val="1"/>
      </w:numPr>
      <w:spacing w:before="100" w:beforeAutospacing="1" w:after="100" w:afterAutospacing="1" w:line="240" w:lineRule="atLeast"/>
      <w:outlineLvl w:val="1"/>
    </w:pPr>
    <w:rPr>
      <w:rFonts w:ascii="Arial" w:hAnsi="Arial"/>
      <w:b/>
      <w:bCs/>
      <w:kern w:val="2"/>
      <w:sz w:val="24"/>
      <w:szCs w:val="24"/>
    </w:rPr>
  </w:style>
  <w:style w:type="paragraph" w:styleId="4">
    <w:name w:val="heading 3"/>
    <w:basedOn w:val="1"/>
    <w:next w:val="1"/>
    <w:link w:val="42"/>
    <w:unhideWhenUsed/>
    <w:qFormat/>
    <w:uiPriority w:val="9"/>
    <w:pPr>
      <w:keepNext/>
      <w:keepLines/>
      <w:numPr>
        <w:ilvl w:val="2"/>
        <w:numId w:val="1"/>
      </w:numPr>
      <w:spacing w:before="260" w:after="260" w:line="416" w:lineRule="auto"/>
      <w:outlineLvl w:val="2"/>
    </w:pPr>
    <w:rPr>
      <w:b/>
      <w:bCs/>
      <w:sz w:val="28"/>
      <w:szCs w:val="32"/>
    </w:rPr>
  </w:style>
  <w:style w:type="paragraph" w:styleId="5">
    <w:name w:val="heading 4"/>
    <w:basedOn w:val="1"/>
    <w:next w:val="1"/>
    <w:link w:val="60"/>
    <w:qFormat/>
    <w:uiPriority w:val="0"/>
    <w:pPr>
      <w:keepNext/>
      <w:keepLines/>
      <w:numPr>
        <w:ilvl w:val="3"/>
        <w:numId w:val="1"/>
      </w:numPr>
      <w:overflowPunct w:val="0"/>
      <w:autoSpaceDE w:val="0"/>
      <w:autoSpaceDN w:val="0"/>
      <w:adjustRightInd w:val="0"/>
      <w:textAlignment w:val="baseline"/>
      <w:outlineLvl w:val="3"/>
    </w:pPr>
    <w:rPr>
      <w:b/>
      <w:sz w:val="28"/>
      <w:szCs w:val="28"/>
      <w:lang w:val="en-GB"/>
    </w:rPr>
  </w:style>
  <w:style w:type="paragraph" w:styleId="6">
    <w:name w:val="heading 5"/>
    <w:basedOn w:val="1"/>
    <w:next w:val="1"/>
    <w:link w:val="61"/>
    <w:qFormat/>
    <w:uiPriority w:val="0"/>
    <w:pPr>
      <w:keepNext/>
      <w:keepLines/>
      <w:numPr>
        <w:ilvl w:val="4"/>
        <w:numId w:val="1"/>
      </w:numPr>
      <w:overflowPunct w:val="0"/>
      <w:autoSpaceDE w:val="0"/>
      <w:autoSpaceDN w:val="0"/>
      <w:adjustRightInd w:val="0"/>
      <w:spacing w:beforeLines="50"/>
      <w:textAlignment w:val="baseline"/>
      <w:outlineLvl w:val="4"/>
    </w:pPr>
    <w:rPr>
      <w:b/>
      <w:sz w:val="24"/>
      <w:szCs w:val="24"/>
      <w:lang w:val="en-GB"/>
    </w:rPr>
  </w:style>
  <w:style w:type="paragraph" w:styleId="7">
    <w:name w:val="heading 6"/>
    <w:basedOn w:val="1"/>
    <w:next w:val="1"/>
    <w:link w:val="72"/>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73"/>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74"/>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75"/>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 w:val="21"/>
      <w:szCs w:val="21"/>
    </w:rPr>
  </w:style>
  <w:style w:type="character" w:default="1" w:styleId="25">
    <w:name w:val="Default Paragraph Font"/>
    <w:unhideWhenUsed/>
    <w:qFormat/>
    <w:uiPriority w:val="1"/>
  </w:style>
  <w:style w:type="table" w:default="1" w:styleId="28">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4"/>
    <w:unhideWhenUsed/>
    <w:qFormat/>
    <w:uiPriority w:val="99"/>
    <w:rPr>
      <w:b/>
      <w:bCs/>
    </w:rPr>
  </w:style>
  <w:style w:type="paragraph" w:styleId="13">
    <w:name w:val="annotation text"/>
    <w:basedOn w:val="1"/>
    <w:link w:val="33"/>
    <w:unhideWhenUsed/>
    <w:qFormat/>
    <w:uiPriority w:val="99"/>
    <w:rPr>
      <w:szCs w:val="20"/>
    </w:rPr>
  </w:style>
  <w:style w:type="paragraph" w:styleId="14">
    <w:name w:val="Normal Indent"/>
    <w:basedOn w:val="1"/>
    <w:qFormat/>
    <w:uiPriority w:val="0"/>
    <w:pPr>
      <w:widowControl w:val="0"/>
      <w:ind w:firstLine="420"/>
      <w:jc w:val="both"/>
    </w:pPr>
    <w:rPr>
      <w:kern w:val="2"/>
      <w:sz w:val="21"/>
      <w:szCs w:val="20"/>
    </w:rPr>
  </w:style>
  <w:style w:type="paragraph" w:styleId="15">
    <w:name w:val="caption"/>
    <w:basedOn w:val="1"/>
    <w:next w:val="1"/>
    <w:link w:val="38"/>
    <w:qFormat/>
    <w:uiPriority w:val="0"/>
    <w:pPr>
      <w:tabs>
        <w:tab w:val="left" w:pos="1418"/>
      </w:tabs>
      <w:spacing w:before="120" w:after="120"/>
    </w:pPr>
    <w:rPr>
      <w:b/>
      <w:bCs/>
      <w:szCs w:val="20"/>
      <w:lang w:val="en-GB" w:eastAsia="sv-SE"/>
    </w:rPr>
  </w:style>
  <w:style w:type="paragraph" w:styleId="16">
    <w:name w:val="Document Map"/>
    <w:basedOn w:val="1"/>
    <w:link w:val="36"/>
    <w:unhideWhenUsed/>
    <w:qFormat/>
    <w:uiPriority w:val="99"/>
    <w:rPr>
      <w:rFonts w:ascii="宋体"/>
      <w:sz w:val="18"/>
      <w:szCs w:val="18"/>
    </w:rPr>
  </w:style>
  <w:style w:type="paragraph" w:styleId="17">
    <w:name w:val="Body Text"/>
    <w:basedOn w:val="1"/>
    <w:link w:val="37"/>
    <w:qFormat/>
    <w:uiPriority w:val="0"/>
    <w:pPr>
      <w:widowControl w:val="0"/>
      <w:jc w:val="both"/>
    </w:pPr>
    <w:rPr>
      <w:color w:val="0000FF"/>
      <w:kern w:val="2"/>
      <w:sz w:val="21"/>
      <w:szCs w:val="20"/>
    </w:rPr>
  </w:style>
  <w:style w:type="paragraph" w:styleId="18">
    <w:name w:val="Body Text Indent"/>
    <w:basedOn w:val="1"/>
    <w:link w:val="68"/>
    <w:unhideWhenUsed/>
    <w:qFormat/>
    <w:uiPriority w:val="99"/>
    <w:pPr>
      <w:spacing w:after="120"/>
      <w:ind w:left="360"/>
    </w:pPr>
  </w:style>
  <w:style w:type="paragraph" w:styleId="19">
    <w:name w:val="Plain Text"/>
    <w:basedOn w:val="1"/>
    <w:link w:val="55"/>
    <w:unhideWhenUsed/>
    <w:qFormat/>
    <w:uiPriority w:val="99"/>
    <w:rPr>
      <w:rFonts w:eastAsia="Calibri"/>
      <w:szCs w:val="21"/>
      <w:lang w:val="en-GB" w:eastAsia="en-US"/>
    </w:rPr>
  </w:style>
  <w:style w:type="paragraph" w:styleId="20">
    <w:name w:val="Date"/>
    <w:basedOn w:val="1"/>
    <w:next w:val="1"/>
    <w:link w:val="49"/>
    <w:unhideWhenUsed/>
    <w:qFormat/>
    <w:uiPriority w:val="99"/>
    <w:pPr>
      <w:ind w:left="100" w:leftChars="2500"/>
    </w:pPr>
  </w:style>
  <w:style w:type="paragraph" w:styleId="21">
    <w:name w:val="Balloon Text"/>
    <w:basedOn w:val="1"/>
    <w:link w:val="35"/>
    <w:unhideWhenUsed/>
    <w:qFormat/>
    <w:uiPriority w:val="99"/>
    <w:rPr>
      <w:rFonts w:ascii="Tahoma" w:hAnsi="Tahoma"/>
      <w:sz w:val="16"/>
      <w:szCs w:val="16"/>
    </w:rPr>
  </w:style>
  <w:style w:type="paragraph" w:styleId="22">
    <w:name w:val="footer"/>
    <w:basedOn w:val="1"/>
    <w:link w:val="40"/>
    <w:unhideWhenUsed/>
    <w:qFormat/>
    <w:uiPriority w:val="99"/>
    <w:pPr>
      <w:tabs>
        <w:tab w:val="center" w:pos="4153"/>
        <w:tab w:val="right" w:pos="8306"/>
      </w:tabs>
      <w:snapToGrid w:val="0"/>
    </w:pPr>
    <w:rPr>
      <w:sz w:val="18"/>
      <w:szCs w:val="18"/>
    </w:rPr>
  </w:style>
  <w:style w:type="paragraph" w:styleId="23">
    <w:name w:val="header"/>
    <w:basedOn w:val="1"/>
    <w:link w:val="31"/>
    <w:qFormat/>
    <w:uiPriority w:val="99"/>
    <w:pPr>
      <w:tabs>
        <w:tab w:val="center" w:pos="4536"/>
        <w:tab w:val="right" w:pos="9072"/>
      </w:tabs>
    </w:pPr>
    <w:rPr>
      <w:rFonts w:ascii="Arial" w:hAnsi="Arial" w:eastAsia="MS Mincho"/>
      <w:b/>
      <w:szCs w:val="24"/>
      <w:lang w:eastAsia="en-US"/>
    </w:rPr>
  </w:style>
  <w:style w:type="paragraph" w:styleId="24">
    <w:name w:val="Normal (Web)"/>
    <w:basedOn w:val="1"/>
    <w:unhideWhenUsed/>
    <w:qFormat/>
    <w:uiPriority w:val="99"/>
    <w:rPr>
      <w:rFonts w:ascii="宋体" w:hAnsi="宋体" w:cs="宋体"/>
      <w:sz w:val="24"/>
      <w:szCs w:val="24"/>
    </w:rPr>
  </w:style>
  <w:style w:type="character" w:styleId="26">
    <w:name w:val="Hyperlink"/>
    <w:unhideWhenUsed/>
    <w:qFormat/>
    <w:uiPriority w:val="99"/>
    <w:rPr>
      <w:color w:val="0000FF"/>
      <w:u w:val="single"/>
    </w:rPr>
  </w:style>
  <w:style w:type="character" w:styleId="27">
    <w:name w:val="annotation reference"/>
    <w:unhideWhenUsed/>
    <w:qFormat/>
    <w:uiPriority w:val="99"/>
    <w:rPr>
      <w:sz w:val="16"/>
      <w:szCs w:val="16"/>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0">
    <w:name w:val="Heading 1 Char"/>
    <w:link w:val="2"/>
    <w:qFormat/>
    <w:uiPriority w:val="99"/>
    <w:rPr>
      <w:rFonts w:ascii="Times New Roman" w:hAnsi="Times New Roman" w:eastAsia="黑体"/>
      <w:b/>
      <w:bCs/>
      <w:sz w:val="30"/>
      <w:szCs w:val="30"/>
      <w:lang w:val="zh-CN" w:eastAsia="zh-CN"/>
    </w:rPr>
  </w:style>
  <w:style w:type="character" w:customStyle="1" w:styleId="31">
    <w:name w:val="Header Char"/>
    <w:link w:val="23"/>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3">
    <w:name w:val="Comment Text Char"/>
    <w:basedOn w:val="25"/>
    <w:link w:val="13"/>
    <w:qFormat/>
    <w:uiPriority w:val="99"/>
  </w:style>
  <w:style w:type="character" w:customStyle="1" w:styleId="34">
    <w:name w:val="Comment Subject Char"/>
    <w:link w:val="12"/>
    <w:semiHidden/>
    <w:qFormat/>
    <w:uiPriority w:val="99"/>
    <w:rPr>
      <w:b/>
      <w:bCs/>
    </w:rPr>
  </w:style>
  <w:style w:type="character" w:customStyle="1" w:styleId="35">
    <w:name w:val="Balloon Text Char"/>
    <w:link w:val="21"/>
    <w:semiHidden/>
    <w:qFormat/>
    <w:uiPriority w:val="99"/>
    <w:rPr>
      <w:rFonts w:ascii="Tahoma" w:hAnsi="Tahoma" w:cs="Tahoma"/>
      <w:sz w:val="16"/>
      <w:szCs w:val="16"/>
    </w:rPr>
  </w:style>
  <w:style w:type="character" w:customStyle="1" w:styleId="36">
    <w:name w:val="Document Map Char"/>
    <w:link w:val="16"/>
    <w:semiHidden/>
    <w:qFormat/>
    <w:uiPriority w:val="99"/>
    <w:rPr>
      <w:rFonts w:ascii="宋体"/>
      <w:sz w:val="18"/>
      <w:szCs w:val="18"/>
    </w:rPr>
  </w:style>
  <w:style w:type="character" w:customStyle="1" w:styleId="37">
    <w:name w:val="Body Text Char"/>
    <w:link w:val="17"/>
    <w:qFormat/>
    <w:uiPriority w:val="0"/>
    <w:rPr>
      <w:rFonts w:ascii="Times New Roman" w:hAnsi="Times New Roman"/>
      <w:color w:val="0000FF"/>
      <w:kern w:val="2"/>
      <w:sz w:val="21"/>
    </w:rPr>
  </w:style>
  <w:style w:type="character" w:customStyle="1" w:styleId="38">
    <w:name w:val="Caption Char"/>
    <w:link w:val="15"/>
    <w:qFormat/>
    <w:uiPriority w:val="0"/>
    <w:rPr>
      <w:rFonts w:ascii="Times New Roman" w:hAnsi="Times New Roman"/>
      <w:b/>
      <w:bCs/>
      <w:lang w:val="en-GB" w:eastAsia="sv-SE"/>
    </w:rPr>
  </w:style>
  <w:style w:type="paragraph" w:customStyle="1" w:styleId="39">
    <w:name w:val="表格文字居左"/>
    <w:basedOn w:val="1"/>
    <w:next w:val="1"/>
    <w:qFormat/>
    <w:uiPriority w:val="0"/>
    <w:pPr>
      <w:widowControl w:val="0"/>
      <w:jc w:val="both"/>
    </w:pPr>
    <w:rPr>
      <w:rFonts w:ascii="Arial" w:hAnsi="Arial" w:cs="宋体"/>
      <w:kern w:val="2"/>
      <w:sz w:val="21"/>
      <w:szCs w:val="20"/>
    </w:rPr>
  </w:style>
  <w:style w:type="character" w:customStyle="1" w:styleId="40">
    <w:name w:val="Footer Char"/>
    <w:link w:val="22"/>
    <w:qFormat/>
    <w:uiPriority w:val="99"/>
    <w:rPr>
      <w:sz w:val="18"/>
      <w:szCs w:val="18"/>
    </w:rPr>
  </w:style>
  <w:style w:type="character" w:customStyle="1" w:styleId="41">
    <w:name w:val="Heading 2 Char"/>
    <w:link w:val="3"/>
    <w:qFormat/>
    <w:uiPriority w:val="0"/>
    <w:rPr>
      <w:rFonts w:ascii="Arial" w:hAnsi="Arial"/>
      <w:b/>
      <w:bCs/>
      <w:kern w:val="2"/>
      <w:sz w:val="24"/>
      <w:szCs w:val="24"/>
      <w:lang w:val="en-US" w:eastAsia="zh-CN"/>
    </w:rPr>
  </w:style>
  <w:style w:type="character" w:customStyle="1" w:styleId="42">
    <w:name w:val="Heading 3 Char"/>
    <w:link w:val="4"/>
    <w:qFormat/>
    <w:uiPriority w:val="9"/>
    <w:rPr>
      <w:rFonts w:ascii="Times New Roman" w:hAnsi="Times New Roman"/>
      <w:b/>
      <w:bCs/>
      <w:sz w:val="28"/>
      <w:szCs w:val="32"/>
      <w:lang w:val="en-US" w:eastAsia="zh-CN"/>
    </w:rPr>
  </w:style>
  <w:style w:type="paragraph" w:customStyle="1" w:styleId="4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4">
    <w:name w:val="z-窗体顶端1"/>
    <w:basedOn w:val="1"/>
    <w:next w:val="1"/>
    <w:link w:val="45"/>
    <w:unhideWhenUsed/>
    <w:qFormat/>
    <w:uiPriority w:val="99"/>
    <w:pPr>
      <w:pBdr>
        <w:bottom w:val="single" w:color="auto" w:sz="6" w:space="1"/>
      </w:pBdr>
      <w:jc w:val="center"/>
    </w:pPr>
    <w:rPr>
      <w:rFonts w:ascii="Arial" w:hAnsi="Arial"/>
      <w:vanish/>
      <w:sz w:val="16"/>
      <w:szCs w:val="16"/>
    </w:rPr>
  </w:style>
  <w:style w:type="character" w:customStyle="1" w:styleId="45">
    <w:name w:val="z-窗体顶端 Char"/>
    <w:link w:val="44"/>
    <w:semiHidden/>
    <w:qFormat/>
    <w:uiPriority w:val="99"/>
    <w:rPr>
      <w:rFonts w:ascii="Arial" w:hAnsi="Arial" w:cs="Arial"/>
      <w:vanish/>
      <w:sz w:val="16"/>
      <w:szCs w:val="16"/>
    </w:rPr>
  </w:style>
  <w:style w:type="character" w:customStyle="1" w:styleId="46">
    <w:name w:val="hps"/>
    <w:basedOn w:val="25"/>
    <w:qFormat/>
    <w:uiPriority w:val="0"/>
  </w:style>
  <w:style w:type="paragraph" w:customStyle="1" w:styleId="47">
    <w:name w:val="z-窗体底端1"/>
    <w:basedOn w:val="1"/>
    <w:next w:val="1"/>
    <w:link w:val="48"/>
    <w:unhideWhenUsed/>
    <w:qFormat/>
    <w:uiPriority w:val="99"/>
    <w:pPr>
      <w:pBdr>
        <w:top w:val="single" w:color="auto" w:sz="6" w:space="1"/>
      </w:pBdr>
      <w:jc w:val="center"/>
    </w:pPr>
    <w:rPr>
      <w:rFonts w:ascii="Arial" w:hAnsi="Arial"/>
      <w:vanish/>
      <w:sz w:val="16"/>
      <w:szCs w:val="16"/>
    </w:rPr>
  </w:style>
  <w:style w:type="character" w:customStyle="1" w:styleId="48">
    <w:name w:val="z-窗体底端 Char"/>
    <w:link w:val="47"/>
    <w:semiHidden/>
    <w:qFormat/>
    <w:uiPriority w:val="99"/>
    <w:rPr>
      <w:rFonts w:ascii="Arial" w:hAnsi="Arial" w:cs="Arial"/>
      <w:vanish/>
      <w:sz w:val="16"/>
      <w:szCs w:val="16"/>
    </w:rPr>
  </w:style>
  <w:style w:type="character" w:customStyle="1" w:styleId="49">
    <w:name w:val="Date Char"/>
    <w:link w:val="20"/>
    <w:semiHidden/>
    <w:qFormat/>
    <w:uiPriority w:val="99"/>
    <w:rPr>
      <w:sz w:val="22"/>
      <w:szCs w:val="22"/>
    </w:rPr>
  </w:style>
  <w:style w:type="paragraph" w:customStyle="1" w:styleId="50">
    <w:name w:val="列出段落1"/>
    <w:basedOn w:val="1"/>
    <w:link w:val="63"/>
    <w:qFormat/>
    <w:uiPriority w:val="34"/>
    <w:pPr>
      <w:widowControl w:val="0"/>
      <w:ind w:firstLine="420" w:firstLineChars="200"/>
      <w:jc w:val="both"/>
    </w:pPr>
    <w:rPr>
      <w:kern w:val="2"/>
      <w:sz w:val="21"/>
      <w:szCs w:val="24"/>
    </w:rPr>
  </w:style>
  <w:style w:type="paragraph" w:customStyle="1" w:styleId="51">
    <w:name w:val="修订1"/>
    <w:hidden/>
    <w:semiHidden/>
    <w:qFormat/>
    <w:uiPriority w:val="99"/>
    <w:rPr>
      <w:rFonts w:ascii="Calibri" w:hAnsi="Calibri" w:cs="Times New Roman" w:eastAsiaTheme="minorEastAsia"/>
      <w:sz w:val="22"/>
      <w:szCs w:val="22"/>
      <w:lang w:val="en-US" w:eastAsia="zh-CN" w:bidi="ar-SA"/>
    </w:rPr>
  </w:style>
  <w:style w:type="paragraph" w:customStyle="1" w:styleId="52">
    <w:name w:val="tablecell"/>
    <w:basedOn w:val="1"/>
    <w:qFormat/>
    <w:uiPriority w:val="0"/>
    <w:pPr>
      <w:autoSpaceDE w:val="0"/>
      <w:autoSpaceDN w:val="0"/>
      <w:adjustRightInd w:val="0"/>
      <w:snapToGrid w:val="0"/>
      <w:spacing w:before="40" w:after="40"/>
    </w:pPr>
    <w:rPr>
      <w:lang w:eastAsia="en-US"/>
    </w:rPr>
  </w:style>
  <w:style w:type="character" w:customStyle="1" w:styleId="53">
    <w:name w:val="short_text"/>
    <w:basedOn w:val="25"/>
    <w:qFormat/>
    <w:uiPriority w:val="0"/>
  </w:style>
  <w:style w:type="paragraph" w:customStyle="1" w:styleId="54">
    <w:name w:val="tableheader"/>
    <w:basedOn w:val="1"/>
    <w:qFormat/>
    <w:uiPriority w:val="0"/>
    <w:pPr>
      <w:snapToGrid w:val="0"/>
      <w:spacing w:before="40" w:after="40"/>
      <w:jc w:val="center"/>
    </w:pPr>
    <w:rPr>
      <w:rFonts w:cs="Calibri"/>
      <w:b/>
      <w:bCs/>
      <w:color w:val="000000"/>
      <w:lang w:eastAsia="en-US"/>
    </w:rPr>
  </w:style>
  <w:style w:type="character" w:customStyle="1" w:styleId="55">
    <w:name w:val="Plain Text Char"/>
    <w:link w:val="19"/>
    <w:qFormat/>
    <w:uiPriority w:val="99"/>
    <w:rPr>
      <w:rFonts w:eastAsia="Calibri"/>
      <w:sz w:val="22"/>
      <w:szCs w:val="21"/>
      <w:lang w:val="en-GB" w:eastAsia="en-US"/>
    </w:rPr>
  </w:style>
  <w:style w:type="paragraph" w:customStyle="1" w:styleId="56">
    <w:name w:val="TAH"/>
    <w:basedOn w:val="57"/>
    <w:qFormat/>
    <w:uiPriority w:val="0"/>
    <w:rPr>
      <w:b/>
    </w:rPr>
  </w:style>
  <w:style w:type="paragraph" w:customStyle="1" w:styleId="57">
    <w:name w:val="TAC"/>
    <w:basedOn w:val="1"/>
    <w:qFormat/>
    <w:uiPriority w:val="0"/>
    <w:pPr>
      <w:keepNext/>
      <w:keepLines/>
      <w:jc w:val="center"/>
    </w:pPr>
    <w:rPr>
      <w:rFonts w:ascii="Arial" w:hAnsi="Arial"/>
      <w:sz w:val="18"/>
      <w:szCs w:val="20"/>
      <w:lang w:val="en-GB" w:eastAsia="en-US"/>
    </w:rPr>
  </w:style>
  <w:style w:type="paragraph" w:customStyle="1" w:styleId="58">
    <w:name w:val="TH"/>
    <w:basedOn w:val="1"/>
    <w:qFormat/>
    <w:uiPriority w:val="0"/>
    <w:pPr>
      <w:keepNext/>
      <w:keepLines/>
      <w:spacing w:before="60" w:after="180"/>
      <w:jc w:val="center"/>
    </w:pPr>
    <w:rPr>
      <w:rFonts w:ascii="Arial" w:hAnsi="Arial"/>
      <w:b/>
      <w:szCs w:val="20"/>
      <w:lang w:val="en-GB" w:eastAsia="en-US"/>
    </w:rPr>
  </w:style>
  <w:style w:type="paragraph" w:customStyle="1" w:styleId="59">
    <w:name w:val="TAN"/>
    <w:basedOn w:val="1"/>
    <w:qFormat/>
    <w:uiPriority w:val="0"/>
    <w:pPr>
      <w:keepNext/>
      <w:keepLines/>
      <w:ind w:left="851" w:hanging="851"/>
    </w:pPr>
    <w:rPr>
      <w:rFonts w:ascii="Arial" w:hAnsi="Arial"/>
      <w:sz w:val="18"/>
      <w:szCs w:val="20"/>
      <w:lang w:val="en-GB" w:eastAsia="en-US"/>
    </w:rPr>
  </w:style>
  <w:style w:type="character" w:customStyle="1" w:styleId="60">
    <w:name w:val="Heading 4 Char"/>
    <w:link w:val="5"/>
    <w:qFormat/>
    <w:uiPriority w:val="0"/>
    <w:rPr>
      <w:rFonts w:ascii="Times New Roman" w:hAnsi="Times New Roman"/>
      <w:b/>
      <w:sz w:val="28"/>
      <w:szCs w:val="28"/>
      <w:lang w:val="en-GB" w:eastAsia="zh-CN"/>
    </w:rPr>
  </w:style>
  <w:style w:type="character" w:customStyle="1" w:styleId="61">
    <w:name w:val="Heading 5 Char"/>
    <w:link w:val="6"/>
    <w:qFormat/>
    <w:uiPriority w:val="0"/>
    <w:rPr>
      <w:rFonts w:ascii="Times New Roman" w:hAnsi="Times New Roman"/>
      <w:b/>
      <w:sz w:val="24"/>
      <w:szCs w:val="24"/>
      <w:lang w:val="en-GB" w:eastAsia="zh-CN"/>
    </w:rPr>
  </w:style>
  <w:style w:type="character" w:customStyle="1" w:styleId="62">
    <w:name w:val="apple-converted-space"/>
    <w:basedOn w:val="25"/>
    <w:qFormat/>
    <w:uiPriority w:val="0"/>
  </w:style>
  <w:style w:type="character" w:customStyle="1" w:styleId="63">
    <w:name w:val="列出段落 Char"/>
    <w:link w:val="50"/>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eastAsia="MS Mincho"/>
      <w:szCs w:val="20"/>
      <w:lang w:val="en-GB" w:eastAsia="en-US"/>
    </w:rPr>
  </w:style>
  <w:style w:type="paragraph" w:customStyle="1" w:styleId="66">
    <w:name w:val="Doc-text2"/>
    <w:basedOn w:val="1"/>
    <w:link w:val="67"/>
    <w:qFormat/>
    <w:uiPriority w:val="0"/>
    <w:pPr>
      <w:tabs>
        <w:tab w:val="left" w:pos="1622"/>
      </w:tabs>
      <w:ind w:left="1622" w:hanging="363"/>
    </w:pPr>
    <w:rPr>
      <w:rFonts w:ascii="Arial" w:hAnsi="Arial" w:eastAsia="MS Mincho"/>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Body Text Indent Char"/>
    <w:basedOn w:val="25"/>
    <w:link w:val="18"/>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eastAsia="Malgun Gothic"/>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eastAsia="宋体" w:cs="宋体"/>
      <w:kern w:val="2"/>
      <w:sz w:val="21"/>
      <w:szCs w:val="20"/>
    </w:rPr>
  </w:style>
  <w:style w:type="character" w:customStyle="1" w:styleId="72">
    <w:name w:val="Heading 6 Char"/>
    <w:basedOn w:val="25"/>
    <w:link w:val="7"/>
    <w:semiHidden/>
    <w:qFormat/>
    <w:uiPriority w:val="9"/>
    <w:rPr>
      <w:rFonts w:asciiTheme="majorHAnsi" w:hAnsiTheme="majorHAnsi" w:eastAsiaTheme="majorEastAsia" w:cstheme="majorBidi"/>
      <w:b/>
      <w:bCs/>
      <w:sz w:val="24"/>
      <w:szCs w:val="24"/>
      <w:lang w:val="en-US" w:eastAsia="zh-CN"/>
    </w:rPr>
  </w:style>
  <w:style w:type="character" w:customStyle="1" w:styleId="73">
    <w:name w:val="Heading 7 Char"/>
    <w:basedOn w:val="25"/>
    <w:link w:val="8"/>
    <w:semiHidden/>
    <w:qFormat/>
    <w:uiPriority w:val="9"/>
    <w:rPr>
      <w:b/>
      <w:bCs/>
      <w:sz w:val="24"/>
      <w:szCs w:val="24"/>
      <w:lang w:val="en-US" w:eastAsia="zh-CN"/>
    </w:rPr>
  </w:style>
  <w:style w:type="character" w:customStyle="1" w:styleId="74">
    <w:name w:val="Heading 8 Char"/>
    <w:basedOn w:val="25"/>
    <w:link w:val="9"/>
    <w:semiHidden/>
    <w:qFormat/>
    <w:uiPriority w:val="9"/>
    <w:rPr>
      <w:rFonts w:asciiTheme="majorHAnsi" w:hAnsiTheme="majorHAnsi" w:eastAsiaTheme="majorEastAsia" w:cstheme="majorBidi"/>
      <w:sz w:val="24"/>
      <w:szCs w:val="24"/>
      <w:lang w:val="en-US" w:eastAsia="zh-CN"/>
    </w:rPr>
  </w:style>
  <w:style w:type="character" w:customStyle="1" w:styleId="75">
    <w:name w:val="Heading 9 Char"/>
    <w:basedOn w:val="25"/>
    <w:link w:val="10"/>
    <w:semiHidden/>
    <w:qFormat/>
    <w:uiPriority w:val="9"/>
    <w:rPr>
      <w:rFonts w:asciiTheme="majorHAnsi" w:hAnsiTheme="majorHAnsi" w:eastAsiaTheme="majorEastAsia" w:cstheme="majorBidi"/>
      <w:sz w:val="21"/>
      <w:szCs w:val="21"/>
      <w:lang w:val="en-US" w:eastAsia="zh-CN"/>
    </w:rPr>
  </w:style>
  <w:style w:type="paragraph" w:customStyle="1" w:styleId="76">
    <w:name w:val="EQ"/>
    <w:basedOn w:val="1"/>
    <w:next w:val="1"/>
    <w:qFormat/>
    <w:uiPriority w:val="0"/>
    <w:pPr>
      <w:keepLines/>
      <w:tabs>
        <w:tab w:val="center" w:pos="4536"/>
        <w:tab w:val="right" w:pos="9072"/>
      </w:tabs>
      <w:overflowPunct w:val="0"/>
      <w:spacing w:after="180"/>
      <w:textAlignment w:val="baseline"/>
    </w:pPr>
    <w:rPr>
      <w:rFonts w:eastAsia="Times New Roman"/>
      <w:lang w:val="en-GB" w:eastAsia="en-GB"/>
    </w:rPr>
  </w:style>
  <w:style w:type="paragraph" w:customStyle="1" w:styleId="77">
    <w:name w:val="B3"/>
    <w:basedOn w:val="11"/>
    <w:qFormat/>
    <w:uiPriority w:val="0"/>
    <w:pPr>
      <w:spacing w:after="180"/>
      <w:ind w:left="1135" w:leftChars="0" w:hanging="284" w:firstLineChars="0"/>
      <w:contextualSpacing w:val="0"/>
    </w:pPr>
    <w:rPr>
      <w:rFonts w:eastAsia="MS Mincho"/>
      <w:szCs w:val="20"/>
      <w:lang w:val="en-GB" w:eastAsia="en-US"/>
    </w:rPr>
  </w:style>
  <w:style w:type="paragraph" w:customStyle="1" w:styleId="78">
    <w:name w:val="Revision"/>
    <w:hidden/>
    <w:semiHidden/>
    <w:qFormat/>
    <w:uiPriority w:val="99"/>
    <w:rPr>
      <w:rFonts w:ascii="Times New Roman" w:hAnsi="Times New Roman" w:cs="Times New Roman" w:eastAsiaTheme="minorEastAsia"/>
      <w:szCs w:val="22"/>
      <w:lang w:val="en-US" w:eastAsia="zh-CN" w:bidi="ar-SA"/>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szCs w:val="22"/>
      <w:lang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8.wmf"/><Relationship Id="rId17" Type="http://schemas.openxmlformats.org/officeDocument/2006/relationships/oleObject" Target="embeddings/oleObject7.bin"/><Relationship Id="rId16" Type="http://schemas.openxmlformats.org/officeDocument/2006/relationships/image" Target="media/image7.wmf"/><Relationship Id="rId15" Type="http://schemas.openxmlformats.org/officeDocument/2006/relationships/oleObject" Target="embeddings/oleObject6.bin"/><Relationship Id="rId14" Type="http://schemas.openxmlformats.org/officeDocument/2006/relationships/image" Target="media/image6.wmf"/><Relationship Id="rId13" Type="http://schemas.openxmlformats.org/officeDocument/2006/relationships/image" Target="media/image5.wmf"/><Relationship Id="rId12" Type="http://schemas.openxmlformats.org/officeDocument/2006/relationships/image" Target="media/image4.wmf"/><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1710E7-C82E-3D46-8399-0278826A21E1}">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2339</Words>
  <Characters>13333</Characters>
  <Lines>111</Lines>
  <Paragraphs>31</Paragraphs>
  <ScaleCrop>false</ScaleCrop>
  <LinksUpToDate>false</LinksUpToDate>
  <CharactersWithSpaces>15641</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2017-09-10T19:16:00Z</dcterms:created>
  <dc:creator>ZTE</dc:creator>
  <cp:lastModifiedBy>00047943</cp:lastModifiedBy>
  <dcterms:modified xsi:type="dcterms:W3CDTF">2017-09-12T04:05:14Z</dcterms:modified>
  <dc:title>R1-1701816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